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7BEFD0" w14:textId="77777777" w:rsidR="00F21C08" w:rsidRPr="00F21C08" w:rsidRDefault="00F21C08" w:rsidP="00AF2ED8">
      <w:pPr>
        <w:shd w:val="clear" w:color="auto" w:fill="FFFFFF"/>
        <w:jc w:val="both"/>
        <w:rPr>
          <w:rFonts w:ascii="Century Schoolbook" w:eastAsia="Times New Roman" w:hAnsi="Century Schoolbook" w:cs="Times New Roman"/>
          <w:b/>
          <w:color w:val="282828"/>
          <w:sz w:val="32"/>
          <w:lang w:eastAsia="en-GB"/>
        </w:rPr>
      </w:pPr>
      <w:r w:rsidRPr="00F21C08">
        <w:rPr>
          <w:rFonts w:ascii="Century Schoolbook" w:eastAsia="Times New Roman" w:hAnsi="Century Schoolbook" w:cs="Times New Roman"/>
          <w:b/>
          <w:color w:val="282828"/>
          <w:sz w:val="32"/>
          <w:lang w:eastAsia="en-GB"/>
        </w:rPr>
        <w:t>Blocking a Play</w:t>
      </w:r>
    </w:p>
    <w:p w14:paraId="49ABEB48" w14:textId="77777777" w:rsidR="00F21C08" w:rsidRPr="00F21C08" w:rsidRDefault="00F21C08" w:rsidP="00AF2ED8">
      <w:pPr>
        <w:shd w:val="clear" w:color="auto" w:fill="FFFFFF"/>
        <w:jc w:val="both"/>
        <w:rPr>
          <w:rFonts w:ascii="Century Schoolbook" w:eastAsia="Times New Roman" w:hAnsi="Century Schoolbook" w:cs="Times New Roman"/>
          <w:color w:val="282828"/>
          <w:lang w:eastAsia="en-GB"/>
        </w:rPr>
      </w:pPr>
      <w:r w:rsidRPr="00F21C08">
        <w:rPr>
          <w:rFonts w:ascii="Century Schoolbook" w:eastAsia="Times New Roman" w:hAnsi="Century Schoolbook" w:cs="Times New Roman"/>
          <w:color w:val="282828"/>
          <w:lang w:eastAsia="en-GB"/>
        </w:rPr>
        <w:t>by Rosalind Flynn</w:t>
      </w:r>
    </w:p>
    <w:p w14:paraId="636E187F" w14:textId="5100CAA2" w:rsidR="00F21C08" w:rsidRPr="00F21C08" w:rsidRDefault="00F21C08" w:rsidP="00AF2ED8">
      <w:pPr>
        <w:shd w:val="clear" w:color="auto" w:fill="FFFFFF"/>
        <w:spacing w:before="100" w:beforeAutospacing="1" w:after="100" w:afterAutospacing="1"/>
        <w:jc w:val="both"/>
        <w:rPr>
          <w:rFonts w:ascii="Century Schoolbook" w:hAnsi="Century Schoolbook" w:cs="Times New Roman"/>
          <w:color w:val="282828"/>
          <w:lang w:eastAsia="en-GB"/>
        </w:rPr>
      </w:pPr>
      <w:r w:rsidRPr="00F21C08">
        <w:rPr>
          <w:rFonts w:ascii="Century Schoolbook" w:hAnsi="Century Schoolbook" w:cs="Times New Roman"/>
          <w:color w:val="282828"/>
          <w:lang w:eastAsia="en-GB"/>
        </w:rPr>
        <w:t xml:space="preserve">Blocking is the </w:t>
      </w:r>
      <w:r w:rsidR="00AF2ED8" w:rsidRPr="00F21C08">
        <w:rPr>
          <w:rFonts w:ascii="Century Schoolbook" w:hAnsi="Century Schoolbook" w:cs="Times New Roman"/>
          <w:color w:val="282828"/>
          <w:lang w:eastAsia="en-GB"/>
        </w:rPr>
        <w:t>theatre</w:t>
      </w:r>
      <w:r w:rsidRPr="00F21C08">
        <w:rPr>
          <w:rFonts w:ascii="Century Schoolbook" w:hAnsi="Century Schoolbook" w:cs="Times New Roman"/>
          <w:color w:val="282828"/>
          <w:lang w:eastAsia="en-GB"/>
        </w:rPr>
        <w:t xml:space="preserve"> term for the actors’ movements on the stage during the performance of the play or the musical. Every move that an actor makes - walking across the stage, climbing some stairs, sitting in a chair, falling to the floor, getting down on bended knee – falls under the larger term “blocking.”</w:t>
      </w:r>
    </w:p>
    <w:p w14:paraId="11AEBD32" w14:textId="77777777" w:rsidR="00F21C08" w:rsidRPr="00F21C08" w:rsidRDefault="00F21C08" w:rsidP="00AF2ED8">
      <w:pPr>
        <w:shd w:val="clear" w:color="auto" w:fill="FFFFFF"/>
        <w:spacing w:before="100" w:beforeAutospacing="1" w:after="100" w:afterAutospacing="1"/>
        <w:jc w:val="both"/>
        <w:outlineLvl w:val="2"/>
        <w:rPr>
          <w:rFonts w:ascii="Century Schoolbook" w:eastAsia="Times New Roman" w:hAnsi="Century Schoolbook" w:cs="Times New Roman"/>
          <w:b/>
          <w:bCs/>
          <w:caps/>
          <w:color w:val="282828"/>
          <w:sz w:val="27"/>
          <w:szCs w:val="27"/>
          <w:lang w:eastAsia="en-GB"/>
        </w:rPr>
      </w:pPr>
      <w:r w:rsidRPr="00F21C08">
        <w:rPr>
          <w:rFonts w:ascii="Century Schoolbook" w:eastAsia="Times New Roman" w:hAnsi="Century Schoolbook" w:cs="Times New Roman"/>
          <w:b/>
          <w:bCs/>
          <w:caps/>
          <w:color w:val="282828"/>
          <w:sz w:val="27"/>
          <w:szCs w:val="27"/>
          <w:lang w:eastAsia="en-GB"/>
        </w:rPr>
        <w:t>WHOSE JOB IS IT TO BLOCK THE PLAY?</w:t>
      </w:r>
    </w:p>
    <w:p w14:paraId="779CE0B5" w14:textId="77777777" w:rsidR="00F21C08" w:rsidRPr="00F21C08" w:rsidRDefault="00F21C08" w:rsidP="00AF2ED8">
      <w:pPr>
        <w:shd w:val="clear" w:color="auto" w:fill="FFFFFF"/>
        <w:spacing w:before="100" w:beforeAutospacing="1" w:after="100" w:afterAutospacing="1"/>
        <w:jc w:val="both"/>
        <w:rPr>
          <w:rFonts w:ascii="Century Schoolbook" w:hAnsi="Century Schoolbook" w:cs="Times New Roman"/>
          <w:color w:val="282828"/>
          <w:lang w:eastAsia="en-GB"/>
        </w:rPr>
      </w:pPr>
      <w:r w:rsidRPr="00F21C08">
        <w:rPr>
          <w:rFonts w:ascii="Century Schoolbook" w:hAnsi="Century Schoolbook" w:cs="Times New Roman"/>
          <w:color w:val="282828"/>
          <w:lang w:eastAsia="en-GB"/>
        </w:rPr>
        <w:t>Sometimes the play’s director determines the actors’ movements and positions on stage.</w:t>
      </w:r>
    </w:p>
    <w:p w14:paraId="58656CC6" w14:textId="77777777" w:rsidR="00F21C08" w:rsidRPr="00F21C08" w:rsidRDefault="00F21C08" w:rsidP="00AF2ED8">
      <w:pPr>
        <w:shd w:val="clear" w:color="auto" w:fill="FFFFFF"/>
        <w:spacing w:before="100" w:beforeAutospacing="1" w:after="100" w:afterAutospacing="1"/>
        <w:jc w:val="both"/>
        <w:rPr>
          <w:rFonts w:ascii="Century Schoolbook" w:hAnsi="Century Schoolbook" w:cs="Times New Roman"/>
          <w:color w:val="282828"/>
          <w:lang w:eastAsia="en-GB"/>
        </w:rPr>
      </w:pPr>
      <w:r w:rsidRPr="00F21C08">
        <w:rPr>
          <w:rFonts w:ascii="Century Schoolbook" w:hAnsi="Century Schoolbook" w:cs="Times New Roman"/>
          <w:color w:val="282828"/>
          <w:lang w:eastAsia="en-GB"/>
        </w:rPr>
        <w:t>Some directors “pre-block” scenes – map out the actors’ movements outside of rehearsal and then give the actors their blocking. Some directors work with the actors during rehearsal and make blocking decisions by having the actual human beings perform the movements; these directors try a variety of movements and stage positions, see what works, make adjustments, and then set the blocking. Other directors, especially when they work with experienced actors during rehearsals, ask the actors to follow their instincts about when to move and the blocking becomes collaborative work.</w:t>
      </w:r>
    </w:p>
    <w:p w14:paraId="460ACCDC" w14:textId="77777777" w:rsidR="00F21C08" w:rsidRPr="00F21C08" w:rsidRDefault="00F21C08" w:rsidP="00AF2ED8">
      <w:pPr>
        <w:shd w:val="clear" w:color="auto" w:fill="FFFFFF"/>
        <w:spacing w:before="100" w:beforeAutospacing="1" w:after="100" w:afterAutospacing="1"/>
        <w:jc w:val="both"/>
        <w:outlineLvl w:val="2"/>
        <w:rPr>
          <w:rFonts w:ascii="Century Schoolbook" w:eastAsia="Times New Roman" w:hAnsi="Century Schoolbook" w:cs="Times New Roman"/>
          <w:b/>
          <w:bCs/>
          <w:caps/>
          <w:color w:val="282828"/>
          <w:sz w:val="27"/>
          <w:szCs w:val="27"/>
          <w:lang w:eastAsia="en-GB"/>
        </w:rPr>
      </w:pPr>
      <w:r w:rsidRPr="00F21C08">
        <w:rPr>
          <w:rFonts w:ascii="Century Schoolbook" w:eastAsia="Times New Roman" w:hAnsi="Century Schoolbook" w:cs="Times New Roman"/>
          <w:b/>
          <w:bCs/>
          <w:caps/>
          <w:color w:val="282828"/>
          <w:sz w:val="27"/>
          <w:szCs w:val="27"/>
          <w:lang w:eastAsia="en-GB"/>
        </w:rPr>
        <w:t>WHEN PLAYWRIGHTS PROVIDE BLOCKING IN THE SCRIPT</w:t>
      </w:r>
    </w:p>
    <w:p w14:paraId="2761E11A" w14:textId="77777777" w:rsidR="00F21C08" w:rsidRPr="00F21C08" w:rsidRDefault="00F21C08" w:rsidP="00AF2ED8">
      <w:pPr>
        <w:shd w:val="clear" w:color="auto" w:fill="FFFFFF"/>
        <w:spacing w:before="100" w:beforeAutospacing="1" w:after="100" w:afterAutospacing="1"/>
        <w:jc w:val="both"/>
        <w:rPr>
          <w:rFonts w:ascii="Century Schoolbook" w:hAnsi="Century Schoolbook" w:cs="Times New Roman"/>
          <w:color w:val="282828"/>
          <w:lang w:eastAsia="en-GB"/>
        </w:rPr>
      </w:pPr>
      <w:r w:rsidRPr="00F21C08">
        <w:rPr>
          <w:rFonts w:ascii="Century Schoolbook" w:hAnsi="Century Schoolbook" w:cs="Times New Roman"/>
          <w:color w:val="282828"/>
          <w:lang w:eastAsia="en-GB"/>
        </w:rPr>
        <w:t>In some plays, the playwright provides blocking notes in the text of the script. </w:t>
      </w:r>
      <w:hyperlink r:id="rId7" w:tgtFrame="_blank" w:history="1">
        <w:r w:rsidRPr="00F21C08">
          <w:rPr>
            <w:rFonts w:ascii="Century Schoolbook" w:hAnsi="Century Schoolbook" w:cs="Times New Roman"/>
            <w:color w:val="282828"/>
            <w:lang w:eastAsia="en-GB"/>
          </w:rPr>
          <w:t>American playwright Eugene O’Neill</w:t>
        </w:r>
      </w:hyperlink>
      <w:r w:rsidRPr="00F21C08">
        <w:rPr>
          <w:rFonts w:ascii="Century Schoolbook" w:hAnsi="Century Schoolbook" w:cs="Times New Roman"/>
          <w:color w:val="282828"/>
          <w:lang w:eastAsia="en-GB"/>
        </w:rPr>
        <w:t> wrote detailed specific stage directions that include not only movements but notes on the characters’ attitudes and emotions as well.</w:t>
      </w:r>
    </w:p>
    <w:p w14:paraId="7105595D" w14:textId="77777777" w:rsidR="00F21C08" w:rsidRPr="00F21C08" w:rsidRDefault="00F21C08" w:rsidP="00AF2ED8">
      <w:pPr>
        <w:shd w:val="clear" w:color="auto" w:fill="FFFFFF"/>
        <w:spacing w:before="100" w:beforeAutospacing="1" w:after="100" w:afterAutospacing="1"/>
        <w:jc w:val="both"/>
        <w:rPr>
          <w:rFonts w:ascii="Century Schoolbook" w:hAnsi="Century Schoolbook" w:cs="Times New Roman"/>
          <w:color w:val="282828"/>
          <w:lang w:eastAsia="en-GB"/>
        </w:rPr>
      </w:pPr>
      <w:r w:rsidRPr="00F21C08">
        <w:rPr>
          <w:rFonts w:ascii="Century Schoolbook" w:hAnsi="Century Schoolbook" w:cs="Times New Roman"/>
          <w:color w:val="282828"/>
          <w:lang w:eastAsia="en-GB"/>
        </w:rPr>
        <w:t>Here is an example from Act I Scene 1 of </w:t>
      </w:r>
      <w:hyperlink r:id="rId8" w:history="1">
        <w:r w:rsidRPr="00F21C08">
          <w:rPr>
            <w:rFonts w:ascii="Century Schoolbook" w:hAnsi="Century Schoolbook" w:cs="Times New Roman"/>
            <w:i/>
            <w:iCs/>
            <w:color w:val="282828"/>
            <w:lang w:eastAsia="en-GB"/>
          </w:rPr>
          <w:t>Long Day’s Journey Into Night.</w:t>
        </w:r>
      </w:hyperlink>
      <w:r w:rsidRPr="00F21C08">
        <w:rPr>
          <w:rFonts w:ascii="Century Schoolbook" w:hAnsi="Century Schoolbook" w:cs="Times New Roman"/>
          <w:color w:val="282828"/>
          <w:lang w:eastAsia="en-GB"/>
        </w:rPr>
        <w:t> Edmund’s dialogue is accompanied by stage directions in italics:</w:t>
      </w:r>
    </w:p>
    <w:p w14:paraId="75424A74" w14:textId="77777777" w:rsidR="00F21C08" w:rsidRPr="00F21C08" w:rsidRDefault="00F21C08" w:rsidP="00AF2ED8">
      <w:pPr>
        <w:shd w:val="clear" w:color="auto" w:fill="FFFFFF"/>
        <w:spacing w:before="100" w:beforeAutospacing="1" w:after="100" w:afterAutospacing="1"/>
        <w:jc w:val="both"/>
        <w:rPr>
          <w:rFonts w:ascii="Century Schoolbook" w:hAnsi="Century Schoolbook" w:cs="Times New Roman"/>
          <w:i/>
          <w:iCs/>
          <w:color w:val="828282"/>
          <w:lang w:eastAsia="en-GB"/>
        </w:rPr>
      </w:pPr>
      <w:r w:rsidRPr="00F21C08">
        <w:rPr>
          <w:rFonts w:ascii="Century Schoolbook" w:hAnsi="Century Schoolbook" w:cs="Times New Roman"/>
          <w:i/>
          <w:iCs/>
          <w:color w:val="828282"/>
          <w:lang w:eastAsia="en-GB"/>
        </w:rPr>
        <w:t>EDMUND</w:t>
      </w:r>
    </w:p>
    <w:p w14:paraId="0B2F4625" w14:textId="77777777" w:rsidR="00F21C08" w:rsidRPr="00F21C08" w:rsidRDefault="00F21C08" w:rsidP="00AF2ED8">
      <w:pPr>
        <w:shd w:val="clear" w:color="auto" w:fill="FFFFFF"/>
        <w:spacing w:before="100" w:beforeAutospacing="1" w:after="100" w:afterAutospacing="1"/>
        <w:jc w:val="both"/>
        <w:rPr>
          <w:rFonts w:ascii="Century Schoolbook" w:hAnsi="Century Schoolbook" w:cs="Times New Roman"/>
          <w:i/>
          <w:iCs/>
          <w:color w:val="828282"/>
          <w:lang w:eastAsia="en-GB"/>
        </w:rPr>
      </w:pPr>
      <w:r w:rsidRPr="00F21C08">
        <w:rPr>
          <w:rFonts w:ascii="Century Schoolbook" w:hAnsi="Century Schoolbook" w:cs="Times New Roman"/>
          <w:i/>
          <w:iCs/>
          <w:color w:val="828282"/>
          <w:lang w:eastAsia="en-GB"/>
        </w:rPr>
        <w:t>With sudden nervous exasperation.</w:t>
      </w:r>
    </w:p>
    <w:p w14:paraId="2FA2B29D" w14:textId="77777777" w:rsidR="00F21C08" w:rsidRPr="00F21C08" w:rsidRDefault="00F21C08" w:rsidP="00AF2ED8">
      <w:pPr>
        <w:shd w:val="clear" w:color="auto" w:fill="FFFFFF"/>
        <w:spacing w:before="100" w:beforeAutospacing="1" w:after="100" w:afterAutospacing="1"/>
        <w:jc w:val="both"/>
        <w:rPr>
          <w:rFonts w:ascii="Century Schoolbook" w:hAnsi="Century Schoolbook" w:cs="Times New Roman"/>
          <w:i/>
          <w:iCs/>
          <w:color w:val="828282"/>
          <w:lang w:eastAsia="en-GB"/>
        </w:rPr>
      </w:pPr>
      <w:r w:rsidRPr="00F21C08">
        <w:rPr>
          <w:rFonts w:ascii="Century Schoolbook" w:hAnsi="Century Schoolbook" w:cs="Times New Roman"/>
          <w:i/>
          <w:iCs/>
          <w:color w:val="828282"/>
          <w:lang w:eastAsia="en-GB"/>
        </w:rPr>
        <w:t>O for God’s sake, Papa. If you’re starting that stuff again, I’ll beat it.</w:t>
      </w:r>
    </w:p>
    <w:p w14:paraId="0FAAFB38" w14:textId="77777777" w:rsidR="00F21C08" w:rsidRPr="00F21C08" w:rsidRDefault="00F21C08" w:rsidP="00AF2ED8">
      <w:pPr>
        <w:shd w:val="clear" w:color="auto" w:fill="FFFFFF"/>
        <w:spacing w:before="100" w:beforeAutospacing="1" w:after="100" w:afterAutospacing="1"/>
        <w:jc w:val="both"/>
        <w:rPr>
          <w:rFonts w:ascii="Century Schoolbook" w:hAnsi="Century Schoolbook" w:cs="Times New Roman"/>
          <w:i/>
          <w:iCs/>
          <w:color w:val="828282"/>
          <w:lang w:eastAsia="en-GB"/>
        </w:rPr>
      </w:pPr>
      <w:r w:rsidRPr="00F21C08">
        <w:rPr>
          <w:rFonts w:ascii="Century Schoolbook" w:hAnsi="Century Schoolbook" w:cs="Times New Roman"/>
          <w:i/>
          <w:iCs/>
          <w:color w:val="828282"/>
          <w:lang w:eastAsia="en-GB"/>
        </w:rPr>
        <w:t>He jumps up.</w:t>
      </w:r>
    </w:p>
    <w:p w14:paraId="2D744014" w14:textId="77777777" w:rsidR="00F21C08" w:rsidRPr="00F21C08" w:rsidRDefault="00F21C08" w:rsidP="00AF2ED8">
      <w:pPr>
        <w:shd w:val="clear" w:color="auto" w:fill="FFFFFF"/>
        <w:spacing w:before="100" w:beforeAutospacing="1" w:after="100" w:afterAutospacing="1"/>
        <w:jc w:val="both"/>
        <w:rPr>
          <w:rFonts w:ascii="Century Schoolbook" w:hAnsi="Century Schoolbook" w:cs="Times New Roman"/>
          <w:i/>
          <w:iCs/>
          <w:color w:val="828282"/>
          <w:lang w:eastAsia="en-GB"/>
        </w:rPr>
      </w:pPr>
      <w:r w:rsidRPr="00F21C08">
        <w:rPr>
          <w:rFonts w:ascii="Century Schoolbook" w:hAnsi="Century Schoolbook" w:cs="Times New Roman"/>
          <w:i/>
          <w:iCs/>
          <w:color w:val="828282"/>
          <w:lang w:eastAsia="en-GB"/>
        </w:rPr>
        <w:t>I left my book upstairs anyway.</w:t>
      </w:r>
    </w:p>
    <w:p w14:paraId="5FCB0399" w14:textId="77777777" w:rsidR="00F21C08" w:rsidRPr="00F21C08" w:rsidRDefault="00F21C08" w:rsidP="00AF2ED8">
      <w:pPr>
        <w:shd w:val="clear" w:color="auto" w:fill="FFFFFF"/>
        <w:spacing w:before="100" w:beforeAutospacing="1" w:after="100" w:afterAutospacing="1"/>
        <w:jc w:val="both"/>
        <w:rPr>
          <w:rFonts w:ascii="Century Schoolbook" w:hAnsi="Century Schoolbook" w:cs="Times New Roman"/>
          <w:i/>
          <w:iCs/>
          <w:color w:val="828282"/>
          <w:lang w:eastAsia="en-GB"/>
        </w:rPr>
      </w:pPr>
      <w:r w:rsidRPr="00F21C08">
        <w:rPr>
          <w:rFonts w:ascii="Century Schoolbook" w:hAnsi="Century Schoolbook" w:cs="Times New Roman"/>
          <w:i/>
          <w:iCs/>
          <w:color w:val="828282"/>
          <w:lang w:eastAsia="en-GB"/>
        </w:rPr>
        <w:t>He goes to the front parlor saying disgustedly,</w:t>
      </w:r>
    </w:p>
    <w:p w14:paraId="0A55F79A" w14:textId="77777777" w:rsidR="00F21C08" w:rsidRPr="00F21C08" w:rsidRDefault="00F21C08" w:rsidP="00AF2ED8">
      <w:pPr>
        <w:shd w:val="clear" w:color="auto" w:fill="FFFFFF"/>
        <w:spacing w:before="100" w:beforeAutospacing="1" w:after="100" w:afterAutospacing="1"/>
        <w:jc w:val="both"/>
        <w:rPr>
          <w:rFonts w:ascii="Century Schoolbook" w:hAnsi="Century Schoolbook" w:cs="Times New Roman"/>
          <w:i/>
          <w:iCs/>
          <w:color w:val="828282"/>
          <w:lang w:eastAsia="en-GB"/>
        </w:rPr>
      </w:pPr>
      <w:r w:rsidRPr="00F21C08">
        <w:rPr>
          <w:rFonts w:ascii="Century Schoolbook" w:hAnsi="Century Schoolbook" w:cs="Times New Roman"/>
          <w:i/>
          <w:iCs/>
          <w:color w:val="828282"/>
          <w:lang w:eastAsia="en-GB"/>
        </w:rPr>
        <w:t>God, Papa, I think you’d get sick of hearing yourself.</w:t>
      </w:r>
    </w:p>
    <w:p w14:paraId="1F087B74" w14:textId="77777777" w:rsidR="00F21C08" w:rsidRPr="00F21C08" w:rsidRDefault="00F21C08" w:rsidP="00AF2ED8">
      <w:pPr>
        <w:shd w:val="clear" w:color="auto" w:fill="FFFFFF"/>
        <w:spacing w:before="100" w:beforeAutospacing="1" w:after="100" w:afterAutospacing="1"/>
        <w:jc w:val="both"/>
        <w:rPr>
          <w:rFonts w:ascii="Century Schoolbook" w:hAnsi="Century Schoolbook" w:cs="Times New Roman"/>
          <w:i/>
          <w:iCs/>
          <w:color w:val="828282"/>
          <w:lang w:eastAsia="en-GB"/>
        </w:rPr>
      </w:pPr>
      <w:r w:rsidRPr="00F21C08">
        <w:rPr>
          <w:rFonts w:ascii="Century Schoolbook" w:hAnsi="Century Schoolbook" w:cs="Times New Roman"/>
          <w:i/>
          <w:iCs/>
          <w:color w:val="828282"/>
          <w:lang w:eastAsia="en-GB"/>
        </w:rPr>
        <w:t>He disappears. Tyrone looks after him angrily.</w:t>
      </w:r>
    </w:p>
    <w:p w14:paraId="2374E6F0" w14:textId="43B2ED0C" w:rsidR="00F21C08" w:rsidRPr="00F21C08" w:rsidRDefault="00F21C08" w:rsidP="00AF2ED8">
      <w:pPr>
        <w:shd w:val="clear" w:color="auto" w:fill="FFFFFF"/>
        <w:spacing w:before="100" w:beforeAutospacing="1" w:after="100" w:afterAutospacing="1"/>
        <w:jc w:val="both"/>
        <w:rPr>
          <w:rFonts w:ascii="Century Schoolbook" w:hAnsi="Century Schoolbook" w:cs="Times New Roman"/>
          <w:color w:val="282828"/>
          <w:lang w:eastAsia="en-GB"/>
        </w:rPr>
      </w:pPr>
      <w:r w:rsidRPr="00F21C08">
        <w:rPr>
          <w:rFonts w:ascii="Century Schoolbook" w:hAnsi="Century Schoolbook" w:cs="Times New Roman"/>
          <w:color w:val="282828"/>
          <w:lang w:eastAsia="en-GB"/>
        </w:rPr>
        <w:t xml:space="preserve">Some directors remain true to the stage directions provided by the playwright in the script, but directors and actors are not bound to follow those directions in the way that they are bound to use the playwright’s dialogue strictly as written. The words that the </w:t>
      </w:r>
      <w:r w:rsidRPr="00F21C08">
        <w:rPr>
          <w:rFonts w:ascii="Century Schoolbook" w:hAnsi="Century Schoolbook" w:cs="Times New Roman"/>
          <w:color w:val="282828"/>
          <w:lang w:eastAsia="en-GB"/>
        </w:rPr>
        <w:lastRenderedPageBreak/>
        <w:t xml:space="preserve">actors playing characters speak must be delivered precisely as they appear in the script; only with the playwright’s specific permission may lines of dialogue be changed or omitted. It is not imperative, however, to adhere to the playwright’s blocking ideas. Actors and directors are free to make their own movement </w:t>
      </w:r>
      <w:r w:rsidR="00AF2ED8" w:rsidRPr="00F21C08">
        <w:rPr>
          <w:rFonts w:ascii="Century Schoolbook" w:hAnsi="Century Schoolbook" w:cs="Times New Roman"/>
          <w:color w:val="282828"/>
          <w:lang w:eastAsia="en-GB"/>
        </w:rPr>
        <w:t>choices. ​</w:t>
      </w:r>
    </w:p>
    <w:p w14:paraId="56CC37D7" w14:textId="77777777" w:rsidR="00F21C08" w:rsidRPr="00F21C08" w:rsidRDefault="00F21C08" w:rsidP="00AF2ED8">
      <w:pPr>
        <w:shd w:val="clear" w:color="auto" w:fill="FFFFFF"/>
        <w:spacing w:before="100" w:beforeAutospacing="1" w:after="100" w:afterAutospacing="1"/>
        <w:jc w:val="both"/>
        <w:rPr>
          <w:rFonts w:ascii="Century Schoolbook" w:hAnsi="Century Schoolbook" w:cs="Times New Roman"/>
          <w:color w:val="282828"/>
          <w:lang w:eastAsia="en-GB"/>
        </w:rPr>
      </w:pPr>
      <w:r w:rsidRPr="00F21C08">
        <w:rPr>
          <w:rFonts w:ascii="Century Schoolbook" w:hAnsi="Century Schoolbook" w:cs="Times New Roman"/>
          <w:color w:val="282828"/>
          <w:lang w:eastAsia="en-GB"/>
        </w:rPr>
        <w:t>Some directors appreciate scripts with detailed stage directions. Some directors prefer scripts with little to no blocking ideas within the text.</w:t>
      </w:r>
    </w:p>
    <w:p w14:paraId="738704D9" w14:textId="77777777" w:rsidR="00F21C08" w:rsidRPr="00F21C08" w:rsidRDefault="00F21C08" w:rsidP="00AF2ED8">
      <w:pPr>
        <w:shd w:val="clear" w:color="auto" w:fill="FFFFFF"/>
        <w:spacing w:before="100" w:beforeAutospacing="1" w:after="100" w:afterAutospacing="1"/>
        <w:jc w:val="both"/>
        <w:outlineLvl w:val="2"/>
        <w:rPr>
          <w:rFonts w:ascii="Century Schoolbook" w:eastAsia="Times New Roman" w:hAnsi="Century Schoolbook" w:cs="Times New Roman"/>
          <w:b/>
          <w:bCs/>
          <w:caps/>
          <w:color w:val="282828"/>
          <w:sz w:val="27"/>
          <w:szCs w:val="27"/>
          <w:lang w:eastAsia="en-GB"/>
        </w:rPr>
      </w:pPr>
      <w:r w:rsidRPr="00F21C08">
        <w:rPr>
          <w:rFonts w:ascii="Century Schoolbook" w:eastAsia="Times New Roman" w:hAnsi="Century Schoolbook" w:cs="Times New Roman"/>
          <w:b/>
          <w:bCs/>
          <w:caps/>
          <w:color w:val="282828"/>
          <w:sz w:val="27"/>
          <w:szCs w:val="27"/>
          <w:lang w:eastAsia="en-GB"/>
        </w:rPr>
        <w:t>SOME OF THE BASIC FUNCTIONS OF BLOCKING</w:t>
      </w:r>
    </w:p>
    <w:p w14:paraId="1DD1FF8E" w14:textId="77777777" w:rsidR="00F21C08" w:rsidRPr="00F21C08" w:rsidRDefault="00F21C08" w:rsidP="00AF2ED8">
      <w:pPr>
        <w:shd w:val="clear" w:color="auto" w:fill="FFFFFF"/>
        <w:spacing w:before="100" w:beforeAutospacing="1" w:after="100" w:afterAutospacing="1"/>
        <w:jc w:val="both"/>
        <w:rPr>
          <w:rFonts w:ascii="Century Schoolbook" w:hAnsi="Century Schoolbook" w:cs="Times New Roman"/>
          <w:color w:val="282828"/>
          <w:lang w:eastAsia="en-GB"/>
        </w:rPr>
      </w:pPr>
      <w:r w:rsidRPr="00F21C08">
        <w:rPr>
          <w:rFonts w:ascii="Century Schoolbook" w:hAnsi="Century Schoolbook" w:cs="Times New Roman"/>
          <w:color w:val="282828"/>
          <w:lang w:eastAsia="en-GB"/>
        </w:rPr>
        <w:t>Ideally, blocking should enhance the story on the stage by:</w:t>
      </w:r>
    </w:p>
    <w:p w14:paraId="1C45B4D8" w14:textId="7B4FD615" w:rsidR="00F21C08" w:rsidRPr="00F21C08" w:rsidRDefault="00F21C08" w:rsidP="00AF2ED8">
      <w:pPr>
        <w:numPr>
          <w:ilvl w:val="0"/>
          <w:numId w:val="1"/>
        </w:numPr>
        <w:shd w:val="clear" w:color="auto" w:fill="FFFFFF"/>
        <w:spacing w:before="100" w:beforeAutospacing="1" w:after="100" w:afterAutospacing="1"/>
        <w:jc w:val="both"/>
        <w:rPr>
          <w:rFonts w:ascii="Century Schoolbook" w:eastAsia="Times New Roman" w:hAnsi="Century Schoolbook" w:cs="Times New Roman"/>
          <w:color w:val="282828"/>
          <w:lang w:eastAsia="en-GB"/>
        </w:rPr>
      </w:pPr>
      <w:r w:rsidRPr="00F21C08">
        <w:rPr>
          <w:rFonts w:ascii="Century Schoolbook" w:eastAsia="Times New Roman" w:hAnsi="Century Schoolbook" w:cs="Times New Roman"/>
          <w:color w:val="282828"/>
          <w:lang w:eastAsia="en-GB"/>
        </w:rPr>
        <w:t xml:space="preserve">reflecting the authentic </w:t>
      </w:r>
      <w:r w:rsidR="00AF2ED8" w:rsidRPr="00F21C08">
        <w:rPr>
          <w:rFonts w:ascii="Century Schoolbook" w:eastAsia="Times New Roman" w:hAnsi="Century Schoolbook" w:cs="Times New Roman"/>
          <w:color w:val="282828"/>
          <w:lang w:eastAsia="en-GB"/>
        </w:rPr>
        <w:t>behaviour</w:t>
      </w:r>
      <w:r w:rsidRPr="00F21C08">
        <w:rPr>
          <w:rFonts w:ascii="Century Schoolbook" w:eastAsia="Times New Roman" w:hAnsi="Century Schoolbook" w:cs="Times New Roman"/>
          <w:color w:val="282828"/>
          <w:lang w:eastAsia="en-GB"/>
        </w:rPr>
        <w:t xml:space="preserve"> of the characters – a character’s movements can reveal just as much and sometimes more than his or her words do.</w:t>
      </w:r>
    </w:p>
    <w:p w14:paraId="3937762C" w14:textId="77777777" w:rsidR="00F21C08" w:rsidRPr="00F21C08" w:rsidRDefault="00F21C08" w:rsidP="00AF2ED8">
      <w:pPr>
        <w:numPr>
          <w:ilvl w:val="0"/>
          <w:numId w:val="1"/>
        </w:numPr>
        <w:shd w:val="clear" w:color="auto" w:fill="FFFFFF"/>
        <w:spacing w:before="100" w:beforeAutospacing="1" w:after="100" w:afterAutospacing="1"/>
        <w:jc w:val="both"/>
        <w:rPr>
          <w:rFonts w:ascii="Century Schoolbook" w:eastAsia="Times New Roman" w:hAnsi="Century Schoolbook" w:cs="Times New Roman"/>
          <w:color w:val="282828"/>
          <w:lang w:eastAsia="en-GB"/>
        </w:rPr>
      </w:pPr>
      <w:r w:rsidRPr="00F21C08">
        <w:rPr>
          <w:rFonts w:ascii="Century Schoolbook" w:eastAsia="Times New Roman" w:hAnsi="Century Schoolbook" w:cs="Times New Roman"/>
          <w:color w:val="282828"/>
          <w:lang w:eastAsia="en-GB"/>
        </w:rPr>
        <w:t>reflecting the relationships between and among characters.</w:t>
      </w:r>
    </w:p>
    <w:p w14:paraId="1FBD3633" w14:textId="77777777" w:rsidR="00F21C08" w:rsidRPr="00F21C08" w:rsidRDefault="00F21C08" w:rsidP="00AF2ED8">
      <w:pPr>
        <w:numPr>
          <w:ilvl w:val="0"/>
          <w:numId w:val="1"/>
        </w:numPr>
        <w:shd w:val="clear" w:color="auto" w:fill="FFFFFF"/>
        <w:spacing w:before="100" w:beforeAutospacing="1" w:after="100" w:afterAutospacing="1"/>
        <w:jc w:val="both"/>
        <w:rPr>
          <w:rFonts w:ascii="Century Schoolbook" w:eastAsia="Times New Roman" w:hAnsi="Century Schoolbook" w:cs="Times New Roman"/>
          <w:color w:val="282828"/>
          <w:lang w:eastAsia="en-GB"/>
        </w:rPr>
      </w:pPr>
      <w:r w:rsidRPr="00F21C08">
        <w:rPr>
          <w:rFonts w:ascii="Century Schoolbook" w:eastAsia="Times New Roman" w:hAnsi="Century Schoolbook" w:cs="Times New Roman"/>
          <w:color w:val="282828"/>
          <w:lang w:eastAsia="en-GB"/>
        </w:rPr>
        <w:t>giving the focus to certain characters at appropriate moments (helping the audience know where to look).</w:t>
      </w:r>
    </w:p>
    <w:p w14:paraId="28AFB5EC" w14:textId="77777777" w:rsidR="00AF2ED8" w:rsidRDefault="00F21C08" w:rsidP="00341CA8">
      <w:pPr>
        <w:numPr>
          <w:ilvl w:val="0"/>
          <w:numId w:val="2"/>
        </w:numPr>
        <w:shd w:val="clear" w:color="auto" w:fill="FFFFFF"/>
        <w:spacing w:before="100" w:beforeAutospacing="1" w:after="100" w:afterAutospacing="1"/>
        <w:jc w:val="both"/>
        <w:rPr>
          <w:rFonts w:ascii="Century Schoolbook" w:eastAsia="Times New Roman" w:hAnsi="Century Schoolbook" w:cs="Times New Roman"/>
          <w:color w:val="282828"/>
          <w:lang w:eastAsia="en-GB"/>
        </w:rPr>
      </w:pPr>
      <w:r w:rsidRPr="00AF2ED8">
        <w:rPr>
          <w:rFonts w:ascii="Century Schoolbook" w:eastAsia="Times New Roman" w:hAnsi="Century Schoolbook" w:cs="Times New Roman"/>
          <w:color w:val="282828"/>
          <w:lang w:eastAsia="en-GB"/>
        </w:rPr>
        <w:t>allowing the audience to see what they are supposed to see and not what is meant to be hidden – either as part of the play or an accidental peek back stage.</w:t>
      </w:r>
    </w:p>
    <w:p w14:paraId="60C289EF" w14:textId="77E2F7AC" w:rsidR="00F21C08" w:rsidRPr="00AF2ED8" w:rsidRDefault="00F21C08" w:rsidP="00341CA8">
      <w:pPr>
        <w:numPr>
          <w:ilvl w:val="0"/>
          <w:numId w:val="2"/>
        </w:numPr>
        <w:shd w:val="clear" w:color="auto" w:fill="FFFFFF"/>
        <w:spacing w:before="100" w:beforeAutospacing="1" w:after="100" w:afterAutospacing="1"/>
        <w:jc w:val="both"/>
        <w:rPr>
          <w:rFonts w:ascii="Century Schoolbook" w:eastAsia="Times New Roman" w:hAnsi="Century Schoolbook" w:cs="Times New Roman"/>
          <w:color w:val="282828"/>
          <w:lang w:eastAsia="en-GB"/>
        </w:rPr>
      </w:pPr>
      <w:r w:rsidRPr="00AF2ED8">
        <w:rPr>
          <w:rFonts w:ascii="Century Schoolbook" w:eastAsia="Times New Roman" w:hAnsi="Century Schoolbook" w:cs="Times New Roman"/>
          <w:color w:val="282828"/>
          <w:lang w:eastAsia="en-GB"/>
        </w:rPr>
        <w:t>creating effective stage pictures – strong, pleasing, horrific – that convey the meanings and moods of the play.</w:t>
      </w:r>
    </w:p>
    <w:p w14:paraId="22327D61" w14:textId="77777777" w:rsidR="00F21C08" w:rsidRPr="00F21C08" w:rsidRDefault="00F21C08" w:rsidP="00AF2ED8">
      <w:pPr>
        <w:numPr>
          <w:ilvl w:val="0"/>
          <w:numId w:val="2"/>
        </w:numPr>
        <w:shd w:val="clear" w:color="auto" w:fill="FFFFFF"/>
        <w:spacing w:before="100" w:beforeAutospacing="1" w:after="100" w:afterAutospacing="1"/>
        <w:jc w:val="both"/>
        <w:rPr>
          <w:rFonts w:ascii="Century Schoolbook" w:eastAsia="Times New Roman" w:hAnsi="Century Schoolbook" w:cs="Times New Roman"/>
          <w:color w:val="282828"/>
          <w:lang w:eastAsia="en-GB"/>
        </w:rPr>
      </w:pPr>
      <w:r w:rsidRPr="00F21C08">
        <w:rPr>
          <w:rFonts w:ascii="Century Schoolbook" w:eastAsia="Times New Roman" w:hAnsi="Century Schoolbook" w:cs="Times New Roman"/>
          <w:color w:val="282828"/>
          <w:lang w:eastAsia="en-GB"/>
        </w:rPr>
        <w:t>making effective use of the set.</w:t>
      </w:r>
    </w:p>
    <w:p w14:paraId="0600A6C4" w14:textId="77777777" w:rsidR="00F21C08" w:rsidRPr="00F21C08" w:rsidRDefault="00F21C08" w:rsidP="00AF2ED8">
      <w:pPr>
        <w:shd w:val="clear" w:color="auto" w:fill="FFFFFF"/>
        <w:spacing w:before="100" w:beforeAutospacing="1" w:after="100" w:afterAutospacing="1"/>
        <w:jc w:val="both"/>
        <w:outlineLvl w:val="2"/>
        <w:rPr>
          <w:rFonts w:ascii="Century Schoolbook" w:eastAsia="Times New Roman" w:hAnsi="Century Schoolbook" w:cs="Times New Roman"/>
          <w:b/>
          <w:bCs/>
          <w:caps/>
          <w:color w:val="282828"/>
          <w:sz w:val="27"/>
          <w:szCs w:val="27"/>
          <w:lang w:eastAsia="en-GB"/>
        </w:rPr>
      </w:pPr>
      <w:r w:rsidRPr="00F21C08">
        <w:rPr>
          <w:rFonts w:ascii="Century Schoolbook" w:eastAsia="Times New Roman" w:hAnsi="Century Schoolbook" w:cs="Times New Roman"/>
          <w:b/>
          <w:bCs/>
          <w:caps/>
          <w:color w:val="282828"/>
          <w:sz w:val="27"/>
          <w:szCs w:val="27"/>
          <w:lang w:eastAsia="en-GB"/>
        </w:rPr>
        <w:t>BLOCKING NOTATION</w:t>
      </w:r>
    </w:p>
    <w:p w14:paraId="620A6D57" w14:textId="77777777" w:rsidR="00F21C08" w:rsidRPr="00F21C08" w:rsidRDefault="00F21C08" w:rsidP="00AF2ED8">
      <w:pPr>
        <w:shd w:val="clear" w:color="auto" w:fill="FFFFFF"/>
        <w:spacing w:before="100" w:beforeAutospacing="1" w:after="100" w:afterAutospacing="1"/>
        <w:jc w:val="both"/>
        <w:rPr>
          <w:rFonts w:ascii="Century Schoolbook" w:hAnsi="Century Schoolbook" w:cs="Times New Roman"/>
          <w:color w:val="282828"/>
          <w:lang w:eastAsia="en-GB"/>
        </w:rPr>
      </w:pPr>
      <w:r w:rsidRPr="00F21C08">
        <w:rPr>
          <w:rFonts w:ascii="Century Schoolbook" w:hAnsi="Century Schoolbook" w:cs="Times New Roman"/>
          <w:color w:val="282828"/>
          <w:lang w:eastAsia="en-GB"/>
        </w:rPr>
        <w:t>Once a scene has been blocked, the actors must execute the same movements during rehearsals and performances. Thus, actors must memorize their blocking as well as their lines. During blocking rehearsals, most actors use a pencil to note their blocking in their scripts – pencil, not pen, so that if the blocking changes, the pencil marks can be erased and the new blocking noted.</w:t>
      </w:r>
    </w:p>
    <w:p w14:paraId="45118F07" w14:textId="71BF869F" w:rsidR="00F21C08" w:rsidRDefault="00F21C08" w:rsidP="00AF2ED8">
      <w:pPr>
        <w:shd w:val="clear" w:color="auto" w:fill="FFFFFF"/>
        <w:spacing w:before="100" w:beforeAutospacing="1" w:after="100" w:afterAutospacing="1"/>
        <w:jc w:val="both"/>
        <w:rPr>
          <w:rFonts w:ascii="Century Schoolbook" w:hAnsi="Century Schoolbook" w:cs="Times New Roman"/>
          <w:color w:val="282828"/>
          <w:lang w:eastAsia="en-GB"/>
        </w:rPr>
      </w:pPr>
      <w:r w:rsidRPr="00F21C08">
        <w:rPr>
          <w:rFonts w:ascii="Century Schoolbook" w:hAnsi="Century Schoolbook" w:cs="Times New Roman"/>
          <w:color w:val="282828"/>
          <w:lang w:eastAsia="en-GB"/>
        </w:rPr>
        <w:t>Actors and directors use a sort of “shorthand” for blocking notation. Rather than write out “Walk downstage right and stand behind the sofa,” however, an actor would make notes using abbreviations. Any stage movement from one area of the stage to another is called a “cross,” and a quick way to indicate cross is the use of an “X.” So, an actor’s blocking note to self for the above blocking could look like this: “XDR to US of sofa.”</w:t>
      </w:r>
    </w:p>
    <w:tbl>
      <w:tblPr>
        <w:tblStyle w:val="TableGrid"/>
        <w:tblW w:w="0" w:type="auto"/>
        <w:tblLook w:val="04A0" w:firstRow="1" w:lastRow="0" w:firstColumn="1" w:lastColumn="0" w:noHBand="0" w:noVBand="1"/>
      </w:tblPr>
      <w:tblGrid>
        <w:gridCol w:w="4832"/>
        <w:gridCol w:w="4224"/>
      </w:tblGrid>
      <w:tr w:rsidR="00AF2ED8" w:rsidRPr="006A628A" w14:paraId="2D40A8EE" w14:textId="77777777" w:rsidTr="002F1CDB">
        <w:tc>
          <w:tcPr>
            <w:tcW w:w="4832" w:type="dxa"/>
          </w:tcPr>
          <w:p w14:paraId="68A915A3" w14:textId="77777777" w:rsidR="00AF2ED8" w:rsidRPr="00AF2ED8" w:rsidRDefault="00AF2ED8" w:rsidP="002F1CDB">
            <w:pPr>
              <w:rPr>
                <w:rFonts w:ascii="Century Schoolbook" w:hAnsi="Century Schoolbook"/>
              </w:rPr>
            </w:pPr>
            <w:r w:rsidRPr="00AF2ED8">
              <w:rPr>
                <w:rFonts w:ascii="Century Schoolbook" w:hAnsi="Century Schoolbook"/>
              </w:rPr>
              <w:t>adjustment</w:t>
            </w:r>
          </w:p>
        </w:tc>
        <w:tc>
          <w:tcPr>
            <w:tcW w:w="4224" w:type="dxa"/>
          </w:tcPr>
          <w:p w14:paraId="39AFEDC0" w14:textId="1A97597C" w:rsidR="00AF2ED8" w:rsidRPr="00AF2ED8" w:rsidRDefault="00AF2ED8" w:rsidP="002F1CDB">
            <w:pPr>
              <w:rPr>
                <w:rFonts w:ascii="Century Schoolbook" w:hAnsi="Century Schoolbook"/>
                <w:lang w:val="cs-CZ"/>
              </w:rPr>
            </w:pPr>
            <w:r w:rsidRPr="00AF2ED8">
              <w:rPr>
                <w:rFonts w:ascii="Century Schoolbook" w:hAnsi="Century Schoolbook"/>
                <w:lang w:val="cs-CZ"/>
              </w:rPr>
              <w:t>úprava</w:t>
            </w:r>
          </w:p>
        </w:tc>
      </w:tr>
      <w:tr w:rsidR="00AF2ED8" w:rsidRPr="006A628A" w14:paraId="4FCE542C" w14:textId="77777777" w:rsidTr="002F1CDB">
        <w:tc>
          <w:tcPr>
            <w:tcW w:w="4832" w:type="dxa"/>
          </w:tcPr>
          <w:p w14:paraId="249D858F" w14:textId="77777777" w:rsidR="00AF2ED8" w:rsidRPr="00AF2ED8" w:rsidRDefault="00AF2ED8" w:rsidP="002F1CDB">
            <w:pPr>
              <w:rPr>
                <w:rFonts w:ascii="Century Schoolbook" w:hAnsi="Century Schoolbook"/>
              </w:rPr>
            </w:pPr>
            <w:r w:rsidRPr="00AF2ED8">
              <w:rPr>
                <w:rFonts w:ascii="Century Schoolbook" w:hAnsi="Century Schoolbook"/>
              </w:rPr>
              <w:t>to remain</w:t>
            </w:r>
          </w:p>
        </w:tc>
        <w:tc>
          <w:tcPr>
            <w:tcW w:w="4224" w:type="dxa"/>
          </w:tcPr>
          <w:p w14:paraId="4A198349" w14:textId="56084623" w:rsidR="00AF2ED8" w:rsidRPr="00AF2ED8" w:rsidRDefault="00AF2ED8" w:rsidP="002F1CDB">
            <w:pPr>
              <w:rPr>
                <w:rFonts w:ascii="Century Schoolbook" w:hAnsi="Century Schoolbook"/>
                <w:lang w:val="cs-CZ"/>
              </w:rPr>
            </w:pPr>
            <w:r w:rsidRPr="00AF2ED8">
              <w:rPr>
                <w:rFonts w:ascii="Century Schoolbook" w:hAnsi="Century Schoolbook"/>
                <w:lang w:val="cs-CZ"/>
              </w:rPr>
              <w:t>setrvat, zůstat</w:t>
            </w:r>
          </w:p>
        </w:tc>
      </w:tr>
      <w:tr w:rsidR="00AF2ED8" w:rsidRPr="006A628A" w14:paraId="6BA1DEB5" w14:textId="77777777" w:rsidTr="002F1CDB">
        <w:tc>
          <w:tcPr>
            <w:tcW w:w="4832" w:type="dxa"/>
          </w:tcPr>
          <w:p w14:paraId="397FEEDB" w14:textId="77777777" w:rsidR="00AF2ED8" w:rsidRPr="00AF2ED8" w:rsidRDefault="00AF2ED8" w:rsidP="002F1CDB">
            <w:pPr>
              <w:rPr>
                <w:rFonts w:ascii="Century Schoolbook" w:hAnsi="Century Schoolbook"/>
              </w:rPr>
            </w:pPr>
            <w:r w:rsidRPr="00AF2ED8">
              <w:rPr>
                <w:rFonts w:ascii="Century Schoolbook" w:hAnsi="Century Schoolbook"/>
              </w:rPr>
              <w:t>to omit</w:t>
            </w:r>
          </w:p>
        </w:tc>
        <w:tc>
          <w:tcPr>
            <w:tcW w:w="4224" w:type="dxa"/>
          </w:tcPr>
          <w:p w14:paraId="7BFB1D59" w14:textId="51E42DB0" w:rsidR="00AF2ED8" w:rsidRPr="00AF2ED8" w:rsidRDefault="00B968D4" w:rsidP="00B968D4">
            <w:pPr>
              <w:rPr>
                <w:rFonts w:ascii="Century Schoolbook" w:hAnsi="Century Schoolbook"/>
                <w:lang w:val="cs-CZ"/>
              </w:rPr>
            </w:pPr>
            <w:r>
              <w:rPr>
                <w:rFonts w:ascii="Century Schoolbook" w:hAnsi="Century Schoolbook"/>
                <w:lang w:val="cs-CZ"/>
              </w:rPr>
              <w:t xml:space="preserve">opomenout, vypustit </w:t>
            </w:r>
          </w:p>
        </w:tc>
      </w:tr>
      <w:tr w:rsidR="00AF2ED8" w:rsidRPr="006A628A" w14:paraId="6CA00EEA" w14:textId="77777777" w:rsidTr="002F1CDB">
        <w:tc>
          <w:tcPr>
            <w:tcW w:w="4832" w:type="dxa"/>
          </w:tcPr>
          <w:p w14:paraId="3BE9BDDD" w14:textId="77777777" w:rsidR="00AF2ED8" w:rsidRPr="00AF2ED8" w:rsidRDefault="00AF2ED8" w:rsidP="002F1CDB">
            <w:pPr>
              <w:rPr>
                <w:rFonts w:ascii="Century Schoolbook" w:hAnsi="Century Schoolbook"/>
              </w:rPr>
            </w:pPr>
            <w:r w:rsidRPr="00AF2ED8">
              <w:rPr>
                <w:rFonts w:ascii="Century Schoolbook" w:hAnsi="Century Schoolbook"/>
              </w:rPr>
              <w:t>imperative</w:t>
            </w:r>
          </w:p>
        </w:tc>
        <w:tc>
          <w:tcPr>
            <w:tcW w:w="4224" w:type="dxa"/>
          </w:tcPr>
          <w:p w14:paraId="1125A7B9" w14:textId="39B98DAF" w:rsidR="00AF2ED8" w:rsidRPr="00AF2ED8" w:rsidRDefault="00B968D4" w:rsidP="002F1CDB">
            <w:pPr>
              <w:rPr>
                <w:rFonts w:ascii="Century Schoolbook" w:hAnsi="Century Schoolbook"/>
                <w:lang w:val="cs-CZ"/>
              </w:rPr>
            </w:pPr>
            <w:r>
              <w:rPr>
                <w:rFonts w:ascii="Century Schoolbook" w:hAnsi="Century Schoolbook"/>
                <w:lang w:val="cs-CZ"/>
              </w:rPr>
              <w:t>nezbytně nutný</w:t>
            </w:r>
          </w:p>
        </w:tc>
      </w:tr>
      <w:tr w:rsidR="00AF2ED8" w:rsidRPr="006A628A" w14:paraId="3F2DA22A" w14:textId="77777777" w:rsidTr="002F1CDB">
        <w:tc>
          <w:tcPr>
            <w:tcW w:w="4832" w:type="dxa"/>
          </w:tcPr>
          <w:p w14:paraId="53691560" w14:textId="77777777" w:rsidR="00AF2ED8" w:rsidRPr="00AF2ED8" w:rsidRDefault="00AF2ED8" w:rsidP="002F1CDB">
            <w:pPr>
              <w:rPr>
                <w:rFonts w:ascii="Century Schoolbook" w:hAnsi="Century Schoolbook"/>
              </w:rPr>
            </w:pPr>
            <w:r w:rsidRPr="00AF2ED8">
              <w:rPr>
                <w:rFonts w:ascii="Century Schoolbook" w:hAnsi="Century Schoolbook"/>
              </w:rPr>
              <w:t>to adhere</w:t>
            </w:r>
          </w:p>
        </w:tc>
        <w:tc>
          <w:tcPr>
            <w:tcW w:w="4224" w:type="dxa"/>
          </w:tcPr>
          <w:p w14:paraId="0165F326" w14:textId="250B3599" w:rsidR="00AF2ED8" w:rsidRPr="00AF2ED8" w:rsidRDefault="00B968D4" w:rsidP="002F1CDB">
            <w:pPr>
              <w:rPr>
                <w:rFonts w:ascii="Century Schoolbook" w:hAnsi="Century Schoolbook"/>
                <w:lang w:val="cs-CZ"/>
              </w:rPr>
            </w:pPr>
            <w:r>
              <w:rPr>
                <w:rFonts w:ascii="Century Schoolbook" w:hAnsi="Century Schoolbook"/>
                <w:lang w:val="cs-CZ"/>
              </w:rPr>
              <w:t>dodržovat</w:t>
            </w:r>
          </w:p>
        </w:tc>
      </w:tr>
      <w:tr w:rsidR="00AF2ED8" w:rsidRPr="006A628A" w14:paraId="647B59D8" w14:textId="77777777" w:rsidTr="002F1CDB">
        <w:tc>
          <w:tcPr>
            <w:tcW w:w="4832" w:type="dxa"/>
          </w:tcPr>
          <w:p w14:paraId="54B3094A" w14:textId="77777777" w:rsidR="00AF2ED8" w:rsidRPr="00AF2ED8" w:rsidRDefault="00AF2ED8" w:rsidP="002F1CDB">
            <w:pPr>
              <w:rPr>
                <w:rFonts w:ascii="Century Schoolbook" w:hAnsi="Century Schoolbook"/>
              </w:rPr>
            </w:pPr>
            <w:r w:rsidRPr="00AF2ED8">
              <w:rPr>
                <w:rFonts w:ascii="Century Schoolbook" w:hAnsi="Century Schoolbook"/>
              </w:rPr>
              <w:t>to reveal</w:t>
            </w:r>
          </w:p>
        </w:tc>
        <w:tc>
          <w:tcPr>
            <w:tcW w:w="4224" w:type="dxa"/>
          </w:tcPr>
          <w:p w14:paraId="73782DA0" w14:textId="2CCAB1F6" w:rsidR="00AF2ED8" w:rsidRPr="00AF2ED8" w:rsidRDefault="00B968D4" w:rsidP="002F1CDB">
            <w:pPr>
              <w:rPr>
                <w:rFonts w:ascii="Century Schoolbook" w:hAnsi="Century Schoolbook"/>
                <w:lang w:val="cs-CZ"/>
              </w:rPr>
            </w:pPr>
            <w:r>
              <w:rPr>
                <w:rFonts w:ascii="Century Schoolbook" w:hAnsi="Century Schoolbook"/>
                <w:lang w:val="cs-CZ"/>
              </w:rPr>
              <w:t>odhalit</w:t>
            </w:r>
          </w:p>
        </w:tc>
      </w:tr>
      <w:tr w:rsidR="00AF2ED8" w:rsidRPr="006A628A" w14:paraId="3F6791D0" w14:textId="77777777" w:rsidTr="00AF2ED8">
        <w:trPr>
          <w:trHeight w:val="348"/>
        </w:trPr>
        <w:tc>
          <w:tcPr>
            <w:tcW w:w="4832" w:type="dxa"/>
          </w:tcPr>
          <w:p w14:paraId="6B32A415" w14:textId="77777777" w:rsidR="00AF2ED8" w:rsidRPr="00AF2ED8" w:rsidRDefault="00AF2ED8" w:rsidP="002F1CDB">
            <w:pPr>
              <w:rPr>
                <w:rFonts w:ascii="Century Schoolbook" w:hAnsi="Century Schoolbook"/>
              </w:rPr>
            </w:pPr>
            <w:r w:rsidRPr="00AF2ED8">
              <w:rPr>
                <w:rFonts w:ascii="Century Schoolbook" w:hAnsi="Century Schoolbook"/>
              </w:rPr>
              <w:t>to convey</w:t>
            </w:r>
          </w:p>
        </w:tc>
        <w:tc>
          <w:tcPr>
            <w:tcW w:w="4224" w:type="dxa"/>
          </w:tcPr>
          <w:p w14:paraId="10CDBA0F" w14:textId="25186D04" w:rsidR="00AF2ED8" w:rsidRPr="00AF2ED8" w:rsidRDefault="00B968D4" w:rsidP="002F1CDB">
            <w:pPr>
              <w:rPr>
                <w:rFonts w:ascii="Century Schoolbook" w:hAnsi="Century Schoolbook"/>
                <w:lang w:val="cs-CZ"/>
              </w:rPr>
            </w:pPr>
            <w:r>
              <w:rPr>
                <w:rFonts w:ascii="Century Schoolbook" w:hAnsi="Century Schoolbook"/>
                <w:lang w:val="cs-CZ"/>
              </w:rPr>
              <w:t>sdělit, vyslovit</w:t>
            </w:r>
          </w:p>
        </w:tc>
      </w:tr>
      <w:tr w:rsidR="00AF2ED8" w:rsidRPr="006A628A" w14:paraId="55A8DF1B" w14:textId="77777777" w:rsidTr="002F1CDB">
        <w:tc>
          <w:tcPr>
            <w:tcW w:w="4832" w:type="dxa"/>
          </w:tcPr>
          <w:p w14:paraId="0351B388" w14:textId="77777777" w:rsidR="00AF2ED8" w:rsidRPr="00AF2ED8" w:rsidRDefault="00AF2ED8" w:rsidP="002F1CDB">
            <w:pPr>
              <w:rPr>
                <w:rFonts w:ascii="Century Schoolbook" w:hAnsi="Century Schoolbook"/>
              </w:rPr>
            </w:pPr>
            <w:r w:rsidRPr="00AF2ED8">
              <w:rPr>
                <w:rFonts w:ascii="Century Schoolbook" w:hAnsi="Century Schoolbook"/>
              </w:rPr>
              <w:t>to execute</w:t>
            </w:r>
          </w:p>
        </w:tc>
        <w:tc>
          <w:tcPr>
            <w:tcW w:w="4224" w:type="dxa"/>
          </w:tcPr>
          <w:p w14:paraId="70610926" w14:textId="1F9BDDF4" w:rsidR="00AF2ED8" w:rsidRPr="00AF2ED8" w:rsidRDefault="00B968D4" w:rsidP="002F1CDB">
            <w:pPr>
              <w:rPr>
                <w:rFonts w:ascii="Century Schoolbook" w:hAnsi="Century Schoolbook"/>
                <w:lang w:val="cs-CZ"/>
              </w:rPr>
            </w:pPr>
            <w:r>
              <w:rPr>
                <w:rFonts w:ascii="Century Schoolbook" w:hAnsi="Century Schoolbook"/>
                <w:lang w:val="cs-CZ"/>
              </w:rPr>
              <w:t>vykonat</w:t>
            </w:r>
            <w:bookmarkStart w:id="0" w:name="_GoBack"/>
            <w:bookmarkEnd w:id="0"/>
          </w:p>
        </w:tc>
      </w:tr>
    </w:tbl>
    <w:p w14:paraId="4DA8D303" w14:textId="77777777" w:rsidR="00427B5C" w:rsidRPr="00F21C08" w:rsidRDefault="00427B5C" w:rsidP="00AF2ED8">
      <w:pPr>
        <w:jc w:val="both"/>
        <w:rPr>
          <w:rFonts w:ascii="Century Schoolbook" w:hAnsi="Century Schoolbook"/>
        </w:rPr>
      </w:pPr>
    </w:p>
    <w:sectPr w:rsidR="00427B5C" w:rsidRPr="00F21C08" w:rsidSect="00AF2ED8">
      <w:pgSz w:w="11900" w:h="16840"/>
      <w:pgMar w:top="1440" w:right="1080" w:bottom="1440" w:left="1080" w:header="709" w:footer="709" w:gutter="0"/>
      <w:lnNumType w:countBy="5"/>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893B3F" w14:textId="77777777" w:rsidR="00631511" w:rsidRDefault="00631511" w:rsidP="00F21C08">
      <w:r>
        <w:separator/>
      </w:r>
    </w:p>
  </w:endnote>
  <w:endnote w:type="continuationSeparator" w:id="0">
    <w:p w14:paraId="1D74BBC5" w14:textId="77777777" w:rsidR="00631511" w:rsidRDefault="00631511" w:rsidP="00F21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entury Schoolbook">
    <w:panose1 w:val="0204060405050502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244BFA" w14:textId="77777777" w:rsidR="00631511" w:rsidRDefault="00631511" w:rsidP="00F21C08">
      <w:r>
        <w:separator/>
      </w:r>
    </w:p>
  </w:footnote>
  <w:footnote w:type="continuationSeparator" w:id="0">
    <w:p w14:paraId="449267E7" w14:textId="77777777" w:rsidR="00631511" w:rsidRDefault="00631511" w:rsidP="00F21C0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FD03DC"/>
    <w:multiLevelType w:val="multilevel"/>
    <w:tmpl w:val="7F601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E00455"/>
    <w:multiLevelType w:val="multilevel"/>
    <w:tmpl w:val="E6588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C08"/>
    <w:rsid w:val="00427B5C"/>
    <w:rsid w:val="0055073C"/>
    <w:rsid w:val="00631511"/>
    <w:rsid w:val="007531EA"/>
    <w:rsid w:val="00AF2ED8"/>
    <w:rsid w:val="00B968D4"/>
    <w:rsid w:val="00F21C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18BE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21C08"/>
    <w:pPr>
      <w:spacing w:before="100" w:beforeAutospacing="1" w:after="100" w:afterAutospacing="1"/>
      <w:outlineLvl w:val="2"/>
    </w:pPr>
    <w:rPr>
      <w:rFonts w:ascii="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1C08"/>
    <w:pPr>
      <w:tabs>
        <w:tab w:val="center" w:pos="4536"/>
        <w:tab w:val="right" w:pos="9072"/>
      </w:tabs>
    </w:pPr>
  </w:style>
  <w:style w:type="character" w:customStyle="1" w:styleId="HeaderChar">
    <w:name w:val="Header Char"/>
    <w:basedOn w:val="DefaultParagraphFont"/>
    <w:link w:val="Header"/>
    <w:uiPriority w:val="99"/>
    <w:rsid w:val="00F21C08"/>
  </w:style>
  <w:style w:type="paragraph" w:styleId="Footer">
    <w:name w:val="footer"/>
    <w:basedOn w:val="Normal"/>
    <w:link w:val="FooterChar"/>
    <w:uiPriority w:val="99"/>
    <w:unhideWhenUsed/>
    <w:rsid w:val="00F21C08"/>
    <w:pPr>
      <w:tabs>
        <w:tab w:val="center" w:pos="4536"/>
        <w:tab w:val="right" w:pos="9072"/>
      </w:tabs>
    </w:pPr>
  </w:style>
  <w:style w:type="character" w:customStyle="1" w:styleId="FooterChar">
    <w:name w:val="Footer Char"/>
    <w:basedOn w:val="DefaultParagraphFont"/>
    <w:link w:val="Footer"/>
    <w:uiPriority w:val="99"/>
    <w:rsid w:val="00F21C08"/>
  </w:style>
  <w:style w:type="character" w:customStyle="1" w:styleId="Heading3Char">
    <w:name w:val="Heading 3 Char"/>
    <w:basedOn w:val="DefaultParagraphFont"/>
    <w:link w:val="Heading3"/>
    <w:uiPriority w:val="9"/>
    <w:rsid w:val="00F21C08"/>
    <w:rPr>
      <w:rFonts w:ascii="Times New Roman" w:hAnsi="Times New Roman" w:cs="Times New Roman"/>
      <w:b/>
      <w:bCs/>
      <w:sz w:val="27"/>
      <w:szCs w:val="27"/>
      <w:lang w:eastAsia="en-GB"/>
    </w:rPr>
  </w:style>
  <w:style w:type="character" w:customStyle="1" w:styleId="byline-name">
    <w:name w:val="byline-name"/>
    <w:basedOn w:val="DefaultParagraphFont"/>
    <w:rsid w:val="00F21C08"/>
  </w:style>
  <w:style w:type="paragraph" w:styleId="NormalWeb">
    <w:name w:val="Normal (Web)"/>
    <w:basedOn w:val="Normal"/>
    <w:uiPriority w:val="99"/>
    <w:semiHidden/>
    <w:unhideWhenUsed/>
    <w:rsid w:val="00F21C08"/>
    <w:pPr>
      <w:spacing w:before="100" w:beforeAutospacing="1" w:after="100" w:afterAutospacing="1"/>
    </w:pPr>
    <w:rPr>
      <w:rFonts w:ascii="Times New Roman" w:hAnsi="Times New Roman" w:cs="Times New Roman"/>
      <w:lang w:eastAsia="en-GB"/>
    </w:rPr>
  </w:style>
  <w:style w:type="paragraph" w:customStyle="1" w:styleId="cb-split">
    <w:name w:val="cb-split"/>
    <w:basedOn w:val="Normal"/>
    <w:rsid w:val="00F21C08"/>
    <w:pPr>
      <w:spacing w:before="100" w:beforeAutospacing="1" w:after="100" w:afterAutospacing="1"/>
    </w:pPr>
    <w:rPr>
      <w:rFonts w:ascii="Times New Roman" w:hAnsi="Times New Roman" w:cs="Times New Roman"/>
      <w:lang w:eastAsia="en-GB"/>
    </w:rPr>
  </w:style>
  <w:style w:type="character" w:styleId="Hyperlink">
    <w:name w:val="Hyperlink"/>
    <w:basedOn w:val="DefaultParagraphFont"/>
    <w:uiPriority w:val="99"/>
    <w:semiHidden/>
    <w:unhideWhenUsed/>
    <w:rsid w:val="00F21C08"/>
    <w:rPr>
      <w:color w:val="0000FF"/>
      <w:u w:val="single"/>
    </w:rPr>
  </w:style>
  <w:style w:type="character" w:styleId="Emphasis">
    <w:name w:val="Emphasis"/>
    <w:basedOn w:val="DefaultParagraphFont"/>
    <w:uiPriority w:val="20"/>
    <w:qFormat/>
    <w:rsid w:val="00F21C08"/>
    <w:rPr>
      <w:i/>
      <w:iCs/>
    </w:rPr>
  </w:style>
  <w:style w:type="character" w:styleId="LineNumber">
    <w:name w:val="line number"/>
    <w:basedOn w:val="DefaultParagraphFont"/>
    <w:uiPriority w:val="99"/>
    <w:semiHidden/>
    <w:unhideWhenUsed/>
    <w:rsid w:val="00F21C08"/>
  </w:style>
  <w:style w:type="table" w:styleId="TableGrid">
    <w:name w:val="Table Grid"/>
    <w:basedOn w:val="TableNormal"/>
    <w:uiPriority w:val="39"/>
    <w:rsid w:val="00AF2E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091574">
      <w:bodyDiv w:val="1"/>
      <w:marLeft w:val="0"/>
      <w:marRight w:val="0"/>
      <w:marTop w:val="0"/>
      <w:marBottom w:val="0"/>
      <w:divBdr>
        <w:top w:val="none" w:sz="0" w:space="0" w:color="auto"/>
        <w:left w:val="none" w:sz="0" w:space="0" w:color="auto"/>
        <w:bottom w:val="none" w:sz="0" w:space="0" w:color="auto"/>
        <w:right w:val="none" w:sz="0" w:space="0" w:color="auto"/>
      </w:divBdr>
      <w:divsChild>
        <w:div w:id="1404646388">
          <w:marLeft w:val="0"/>
          <w:marRight w:val="0"/>
          <w:marTop w:val="0"/>
          <w:marBottom w:val="0"/>
          <w:divBdr>
            <w:top w:val="none" w:sz="0" w:space="0" w:color="auto"/>
            <w:left w:val="none" w:sz="0" w:space="0" w:color="auto"/>
            <w:bottom w:val="none" w:sz="0" w:space="0" w:color="auto"/>
            <w:right w:val="none" w:sz="0" w:space="0" w:color="auto"/>
          </w:divBdr>
          <w:divsChild>
            <w:div w:id="439910006">
              <w:marLeft w:val="0"/>
              <w:marRight w:val="0"/>
              <w:marTop w:val="0"/>
              <w:marBottom w:val="0"/>
              <w:divBdr>
                <w:top w:val="none" w:sz="0" w:space="0" w:color="auto"/>
                <w:left w:val="none" w:sz="0" w:space="0" w:color="auto"/>
                <w:bottom w:val="none" w:sz="0" w:space="0" w:color="auto"/>
                <w:right w:val="none" w:sz="0" w:space="0" w:color="auto"/>
              </w:divBdr>
            </w:div>
            <w:div w:id="732043848">
              <w:marLeft w:val="0"/>
              <w:marRight w:val="0"/>
              <w:marTop w:val="0"/>
              <w:marBottom w:val="0"/>
              <w:divBdr>
                <w:top w:val="none" w:sz="0" w:space="0" w:color="auto"/>
                <w:left w:val="none" w:sz="0" w:space="0" w:color="auto"/>
                <w:bottom w:val="none" w:sz="0" w:space="0" w:color="auto"/>
                <w:right w:val="none" w:sz="0" w:space="0" w:color="auto"/>
              </w:divBdr>
            </w:div>
          </w:divsChild>
        </w:div>
        <w:div w:id="1410542879">
          <w:marLeft w:val="0"/>
          <w:marRight w:val="0"/>
          <w:marTop w:val="0"/>
          <w:marBottom w:val="0"/>
          <w:divBdr>
            <w:top w:val="none" w:sz="0" w:space="0" w:color="auto"/>
            <w:left w:val="none" w:sz="0" w:space="0" w:color="auto"/>
            <w:bottom w:val="none" w:sz="0" w:space="0" w:color="auto"/>
            <w:right w:val="none" w:sz="0" w:space="0" w:color="auto"/>
          </w:divBdr>
          <w:divsChild>
            <w:div w:id="705569397">
              <w:blockQuote w:val="1"/>
              <w:marLeft w:val="0"/>
              <w:marRight w:val="0"/>
              <w:marTop w:val="0"/>
              <w:marBottom w:val="240"/>
              <w:divBdr>
                <w:top w:val="none" w:sz="0" w:space="0" w:color="auto"/>
                <w:left w:val="single" w:sz="18" w:space="12" w:color="DE2229"/>
                <w:bottom w:val="none" w:sz="0" w:space="0" w:color="auto"/>
                <w:right w:val="none" w:sz="0" w:space="0" w:color="auto"/>
              </w:divBdr>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pbs.org/wnet/americanmasters/eugene-oneill-about-eugene-oneill/676/" TargetMode="External"/><Relationship Id="rId8" Type="http://schemas.openxmlformats.org/officeDocument/2006/relationships/hyperlink" Target="https://www.thoughtco.com/long-days-journey-into-night-oneill-739557"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666</Words>
  <Characters>3798</Characters>
  <Application>Microsoft Macintosh Word</Application>
  <DocSecurity>0</DocSecurity>
  <Lines>31</Lines>
  <Paragraphs>8</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WHOSE JOB IS IT TO BLOCK THE PLAY?</vt:lpstr>
      <vt:lpstr>        WHEN PLAYWRIGHTS PROVIDE BLOCKING IN THE SCRIPT</vt:lpstr>
      <vt:lpstr>        SOME OF THE BASIC FUNCTIONS OF BLOCKING</vt:lpstr>
      <vt:lpstr>        BLOCKING NOTATION</vt:lpstr>
    </vt:vector>
  </TitlesOfParts>
  <LinksUpToDate>false</LinksUpToDate>
  <CharactersWithSpaces>4456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2017-07-24T10:51:00Z</dcterms:created>
  <dcterms:modified xsi:type="dcterms:W3CDTF">2017-07-24T13:38:00Z</dcterms:modified>
</cp:coreProperties>
</file>