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2977" w14:textId="24DE8ABA" w:rsidR="00F918C5" w:rsidRPr="00F918C5" w:rsidRDefault="005C1E61" w:rsidP="005C1E61">
      <w:pPr>
        <w:spacing w:after="24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>
        <w:rPr>
          <w:rFonts w:ascii="Aptos" w:eastAsia="Times New Roman" w:hAnsi="Aptos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t>KVALITA</w:t>
      </w:r>
      <w:r>
        <w:rPr>
          <w:rFonts w:ascii="Aptos" w:eastAsia="Times New Roman" w:hAnsi="Aptos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br/>
      </w:r>
      <w:r w:rsidR="007634CB">
        <w:rPr>
          <w:rFonts w:ascii="Aptos" w:eastAsia="Times New Roman" w:hAnsi="Aptos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t>Průběh a z</w:t>
      </w:r>
      <w:r w:rsidR="00F918C5" w:rsidRPr="00F918C5">
        <w:rPr>
          <w:rFonts w:ascii="Aptos" w:eastAsia="Times New Roman" w:hAnsi="Aptos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t>ávěry z Děkanských zkoušek ve dnech 27./28.5.2024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  <w:br/>
      </w:r>
      <w:r w:rsidR="007634CB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 xml:space="preserve">Zpráva o průběhu a závěrech </w:t>
      </w:r>
      <w:r w:rsidR="00F918C5"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prvního dne zkoušek (27.5.2024), kde se prezentovali studenti prvního ročníku z katedry dechových nástrojů, z katedry varhan a historické interpretace a z katedry </w:t>
      </w:r>
    </w:p>
    <w:p w14:paraId="00759EB7" w14:textId="77777777" w:rsidR="00F918C5" w:rsidRPr="00F918C5" w:rsidRDefault="00F918C5" w:rsidP="00F918C5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  <w:t> </w:t>
      </w:r>
    </w:p>
    <w:p w14:paraId="3B5675D9" w14:textId="32119EC3" w:rsidR="00F918C5" w:rsidRPr="00F918C5" w:rsidRDefault="005C1E61" w:rsidP="00F918C5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proofErr w:type="spellStart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  <w:t>Goals</w:t>
      </w:r>
      <w:proofErr w:type="spellEnd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  <w:t>/</w:t>
      </w: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 xml:space="preserve"> </w:t>
      </w:r>
      <w:r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cíle děkanských zkoušek</w:t>
      </w:r>
      <w:r w:rsidR="00F918C5" w:rsidRPr="00F918C5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  <w:t>: </w:t>
      </w:r>
    </w:p>
    <w:p w14:paraId="7EF3D57A" w14:textId="77777777" w:rsidR="00F918C5" w:rsidRPr="00F918C5" w:rsidRDefault="00F918C5" w:rsidP="00F918C5">
      <w:pPr>
        <w:numPr>
          <w:ilvl w:val="0"/>
          <w:numId w:val="1"/>
        </w:numPr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</w:pP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Assessment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calibrated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within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department? </w:t>
      </w:r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br/>
      </w: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Hodnocení dobře kalibrované vevnitř katedry?</w:t>
      </w:r>
    </w:p>
    <w:p w14:paraId="6B51B835" w14:textId="77777777" w:rsidR="00F918C5" w:rsidRPr="00F918C5" w:rsidRDefault="00F918C5" w:rsidP="00F918C5">
      <w:pPr>
        <w:numPr>
          <w:ilvl w:val="0"/>
          <w:numId w:val="1"/>
        </w:numPr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</w:pP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Assessment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calibrated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between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departments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? </w:t>
      </w:r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br/>
      </w: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Hodnocení dobře kalibrované mezi katedrami?</w:t>
      </w:r>
    </w:p>
    <w:p w14:paraId="3914B214" w14:textId="77777777" w:rsidR="00F918C5" w:rsidRPr="00F918C5" w:rsidRDefault="00F918C5" w:rsidP="00F918C5">
      <w:pPr>
        <w:numPr>
          <w:ilvl w:val="0"/>
          <w:numId w:val="1"/>
        </w:numPr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</w:pP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Comparison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of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proofErr w:type="gram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artistic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(</w:t>
      </w:r>
      <w:proofErr w:type="spellStart"/>
      <w:proofErr w:type="gram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production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/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creative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level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sith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level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of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previous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year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. </w:t>
      </w:r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br/>
      </w: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Srovnání umělecké/produkční/kreativní úrovni s předchozím rokem</w:t>
      </w:r>
    </w:p>
    <w:p w14:paraId="6A008799" w14:textId="77777777" w:rsidR="00F918C5" w:rsidRPr="00F918C5" w:rsidRDefault="00F918C5" w:rsidP="00F918C5">
      <w:pPr>
        <w:numPr>
          <w:ilvl w:val="0"/>
          <w:numId w:val="1"/>
        </w:numPr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</w:pP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Evaluation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of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evaluation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process</w:t>
      </w:r>
      <w:proofErr w:type="spellEnd"/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t>/</w:t>
      </w:r>
      <w:r w:rsidRPr="00F918C5">
        <w:rPr>
          <w:rFonts w:ascii="Aptos" w:eastAsia="Times New Roman" w:hAnsi="Aptos" w:cs="Times New Roman"/>
          <w:kern w:val="0"/>
          <w:sz w:val="22"/>
          <w:szCs w:val="22"/>
          <w:lang w:eastAsia="cs-CZ"/>
          <w14:ligatures w14:val="none"/>
        </w:rPr>
        <w:br/>
      </w: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Evaluace evaluačního procesu</w:t>
      </w:r>
    </w:p>
    <w:p w14:paraId="315EECB9" w14:textId="77777777" w:rsidR="00F918C5" w:rsidRPr="00F918C5" w:rsidRDefault="00F918C5" w:rsidP="00F918C5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  <w:t> </w:t>
      </w:r>
    </w:p>
    <w:p w14:paraId="2E81BEFF" w14:textId="77777777" w:rsidR="00F918C5" w:rsidRPr="00F918C5" w:rsidRDefault="00F918C5" w:rsidP="00F918C5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  <w:t> </w:t>
      </w:r>
    </w:p>
    <w:p w14:paraId="428919EC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b/>
          <w:bCs/>
          <w:color w:val="7030A0"/>
          <w:kern w:val="0"/>
          <w:sz w:val="22"/>
          <w:szCs w:val="22"/>
          <w:lang w:eastAsia="cs-CZ"/>
          <w14:ligatures w14:val="none"/>
        </w:rPr>
        <w:t>ČESKÝ</w:t>
      </w:r>
    </w:p>
    <w:p w14:paraId="20B4520C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b/>
          <w:bCs/>
          <w:color w:val="7030A0"/>
          <w:kern w:val="0"/>
          <w:sz w:val="22"/>
          <w:szCs w:val="22"/>
          <w:lang w:eastAsia="cs-CZ"/>
          <w14:ligatures w14:val="none"/>
        </w:rPr>
        <w:t>Katedra dechových nástrojů:</w:t>
      </w:r>
    </w:p>
    <w:p w14:paraId="40BC4BA2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Komise konstatuje, že úroveň přípravy, realizace a prezentace studentů katedry dechových nástrojů byla mimořádně vysoká. Umělecká úroveň byla celkově velmi vysoká. V meziročním porovnání byla interpretační úroveň v specializacích trombon a trubka vyšší než v předchozích letech a vyrovnala se tak s úrovni ostatních specializací. Komise navrhovala zvýšení bodů u některých studentů</w:t>
      </w:r>
    </w:p>
    <w:p w14:paraId="12AE6550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 </w:t>
      </w:r>
    </w:p>
    <w:p w14:paraId="47717146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b/>
          <w:bCs/>
          <w:color w:val="7030A0"/>
          <w:kern w:val="0"/>
          <w:sz w:val="22"/>
          <w:szCs w:val="22"/>
          <w:lang w:eastAsia="cs-CZ"/>
          <w14:ligatures w14:val="none"/>
        </w:rPr>
        <w:t>Katedra orchestrálního a sborového dirigování a operního zpěvu:</w:t>
      </w:r>
    </w:p>
    <w:p w14:paraId="661361A5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Od loňského roku byl zaveden nový způsob hodnocení studentů orchestrálního dirigování: studenti dirigují a zkoušejí s dechovým ansámblem před komisí. </w:t>
      </w:r>
    </w:p>
    <w:p w14:paraId="1095E145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Studenti sborového dirigování se stále prezentují dřívějším způsobem, a to promítáním video záznamů ze zkoušek a vystoupení s cvičným sborem</w:t>
      </w:r>
    </w:p>
    <w:p w14:paraId="60EFBDE0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 </w:t>
      </w:r>
    </w:p>
    <w:p w14:paraId="685421D9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Komise projednala postup udělování známek studentům orchestrálního dirigování: podle nových studijních plánů dostávají studenti při semestrálních zkouškách na katedře dvě samostatné známky za symfonické a operní dirigování. Při děkanské zkoušce studenti prezentují své dirigování pouze v oboru symfonické dirigování. Proto se komise rozhodla projednat pouze tyto známky.</w:t>
      </w:r>
    </w:p>
    <w:p w14:paraId="7EA37C1D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Komise potvrdila hodnocení katedry u dvou studentů oboru Orchestrální dirigování.</w:t>
      </w:r>
    </w:p>
    <w:p w14:paraId="60DD4F28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Komise projednala postup při udělování známek studentům orchestrálního dirigování: podle nových studijních plánů dostávají studenti při semestrálních zkouškách na katedře dvě samostatné známky za symfonické a operní dirigování. Při děkanské zkoušce studenti prezentují své dirigování pouze v oboru symfonické dirigování. Proto se komise rozhodla projednat pouze tyto známky.</w:t>
      </w:r>
    </w:p>
    <w:p w14:paraId="25329DA8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Komise potvrdila hodnocení katedry u dvou studentů oboru Orchestrální dirigování.</w:t>
      </w:r>
    </w:p>
    <w:p w14:paraId="21D6EDA1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 </w:t>
      </w:r>
    </w:p>
    <w:p w14:paraId="4D670AC9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U studenta sborového dirigování existuje pouze jedná známka, jak u instrumentálních oborů, ale zato nebyl k dispozici cvičný sbor a studentka prezentovala dřívějším způsobem, to znamená ukázala video-záznamy ze zkoušek a koncertu se cvičným sborem. </w:t>
      </w:r>
    </w:p>
    <w:p w14:paraId="05159DEF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Tento postup se letos ukázal být problematickým, protože studentka předložila vlastní, neprofesionální videozáznam, což byl novým fenoménem. V předcházejících letech vyla technická úroveň nahrávek uspokojivá. </w:t>
      </w:r>
    </w:p>
    <w:p w14:paraId="2958964B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lastRenderedPageBreak/>
        <w:t>Komise konstatovala, že pro příští hodnocení by studenti a pedagogové měli bud‘ využít profesionálního nahrávacího zařízení, které fakulta nabízí, anebo organizovat živý sbor např. s osmi zpěváky, aby bylo možné vystoupení studentů před komisí (hodnocení procesu hodnocení).</w:t>
      </w:r>
    </w:p>
    <w:p w14:paraId="468A8520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 </w:t>
      </w:r>
    </w:p>
    <w:p w14:paraId="4B21FA36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 </w:t>
      </w:r>
    </w:p>
    <w:p w14:paraId="7188BE6F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 </w:t>
      </w:r>
    </w:p>
    <w:p w14:paraId="25FE99D8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b/>
          <w:bCs/>
          <w:color w:val="7030A0"/>
          <w:kern w:val="0"/>
          <w:sz w:val="22"/>
          <w:szCs w:val="22"/>
          <w:lang w:eastAsia="cs-CZ"/>
          <w14:ligatures w14:val="none"/>
        </w:rPr>
        <w:t>Katedra varhanní a historické interpretace:</w:t>
      </w:r>
    </w:p>
    <w:p w14:paraId="3360AE24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 xml:space="preserve">Komise překalibrovala některé navržené známky, aby je bylo možné srovnat s ostatními odděleními. Někteří méně zkušení učitelé tohoto oddělení měli tendenci hodnotit své začínající studenty příliš pozitivně, což souviselo s tím, že studenti prvního ročníku hry na </w:t>
      </w:r>
      <w:proofErr w:type="spellStart"/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traverso</w:t>
      </w:r>
      <w:proofErr w:type="spellEnd"/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 xml:space="preserve"> nebo historický hoboj nemají takové předchozí zkušenosti jako jejich kolegové z moderního nástroje. Ve srovnání s předchozími lety byla úroveň stabilní u cembala, houslí a varhan, o něco méně přesvědčivá byla u některých dalších instrumentálních/vokálních výkonů.</w:t>
      </w:r>
    </w:p>
    <w:p w14:paraId="1F05572C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 </w:t>
      </w:r>
    </w:p>
    <w:p w14:paraId="2AEE0063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b/>
          <w:bCs/>
          <w:color w:val="7030A0"/>
          <w:kern w:val="0"/>
          <w:sz w:val="22"/>
          <w:szCs w:val="22"/>
          <w:lang w:eastAsia="cs-CZ"/>
          <w14:ligatures w14:val="none"/>
        </w:rPr>
        <w:t>Katedra skladby, filmové a scénické hudební kompozice, elektroakustické kompozice a multimediální tvorby.</w:t>
      </w:r>
    </w:p>
    <w:p w14:paraId="0791A1CC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Celoplošná kalibrace známek v rámci oddělení byla akceptována, komise navrhla některé známky zvýšit. Oproti předchozím ročníkům bylo patrné zvýšení originality tvorby, což může být výsledkem zvýšeného počtu uchazečů o studium a tím i lepší možnosti výběru studentů).</w:t>
      </w:r>
    </w:p>
    <w:p w14:paraId="78F8BBB0" w14:textId="77777777" w:rsidR="00F918C5" w:rsidRPr="00F918C5" w:rsidRDefault="00F918C5" w:rsidP="00F918C5">
      <w:pPr>
        <w:ind w:left="360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7030A0"/>
          <w:kern w:val="0"/>
          <w:sz w:val="22"/>
          <w:szCs w:val="22"/>
          <w:lang w:eastAsia="cs-CZ"/>
          <w14:ligatures w14:val="none"/>
        </w:rPr>
        <w:t> </w:t>
      </w:r>
    </w:p>
    <w:p w14:paraId="7945520F" w14:textId="77777777" w:rsidR="00F918C5" w:rsidRPr="00F918C5" w:rsidRDefault="00F918C5" w:rsidP="00F918C5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  <w:t> </w:t>
      </w:r>
    </w:p>
    <w:p w14:paraId="736A04DA" w14:textId="77777777" w:rsidR="00F918C5" w:rsidRPr="00F918C5" w:rsidRDefault="00F918C5" w:rsidP="00F918C5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</w:pPr>
      <w:r w:rsidRPr="00F918C5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cs-CZ"/>
          <w14:ligatures w14:val="none"/>
        </w:rPr>
        <w:t> </w:t>
      </w:r>
    </w:p>
    <w:p w14:paraId="045151D5" w14:textId="77777777" w:rsidR="005C1E61" w:rsidRDefault="00951704" w:rsidP="005C1E61">
      <w:pPr>
        <w:spacing w:before="100" w:beforeAutospacing="1"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t>Závěry z Děkanských zkoušek – druhý den 28.5.2024</w:t>
      </w:r>
    </w:p>
    <w:p w14:paraId="3C4D0F35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b/>
          <w:bCs/>
          <w:color w:val="7030A0"/>
          <w:kern w:val="0"/>
          <w:lang w:eastAsia="cs-CZ"/>
          <w14:ligatures w14:val="none"/>
        </w:rPr>
        <w:t>Katedra smyčcových nástrojů</w:t>
      </w:r>
    </w:p>
    <w:p w14:paraId="734D2883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Komise konstatovala, že úroveň přípravy, realizace a interpretace byla celkově vysoká a výrazně vyšší než v předchozím roce. Konkrétně houslové a violové prezentace byly na vysoké technické a interpretační úrovni a doprovodní klavíristé výrazně podpořili celkový přesvědčivé výkony. Korekce známek byly mírné a byly diskutovány na základě techniky, intonace, stylu, barvy tónu a souhry s klavírním doprovodem.</w:t>
      </w:r>
    </w:p>
    <w:p w14:paraId="721815A2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Zvýšení kvality ve srovnání s předchozími ročníky lze vysvětlit jako důsledek všeobecného postkovidového oživení, silnějšího zapojení pedagogů, a také jako následek angažmá dvou významných hostujících profesorů.</w:t>
      </w:r>
    </w:p>
    <w:p w14:paraId="2102E55C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725B77E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b/>
          <w:bCs/>
          <w:color w:val="7030A0"/>
          <w:kern w:val="0"/>
          <w:lang w:eastAsia="cs-CZ"/>
          <w14:ligatures w14:val="none"/>
        </w:rPr>
        <w:t>Vokální oddělení</w:t>
      </w:r>
    </w:p>
    <w:p w14:paraId="4CFD11AC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Vystoupení byla velmi dobře připravena a zvolený repertoár adekvátní vývojové úrovni jednotlivých studentů. Vedoucí katedry komentoval udělené známky a po diskusi nad otázkami hlasové techniky, artikulace, stylu, zabarvení hlasu a emočního nasazení jednotlivých interpretů došlo pouze k drobným korekcím. Umělecká a interpretační úroveň je ve srovnání s předchozími ročníky stabilní, s mírně stoupající tendencí. Vliv na toto zlepšení celkové kvality mohlo mít angažování významného zahraničního hostujícího pedagoga. Dalším faktorem atraktivnost oboru je Komorní opera a silné propojení katedry s Národním divadlem.</w:t>
      </w:r>
    </w:p>
    <w:p w14:paraId="239BD677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C7F6B0C" w14:textId="7391E234" w:rsidR="00951704" w:rsidRPr="00951704" w:rsidRDefault="005C1E61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0"/>
          <w:lang w:eastAsia="cs-CZ"/>
          <w14:ligatures w14:val="none"/>
        </w:rPr>
        <w:t>Katedra</w:t>
      </w:r>
      <w:r w:rsidR="00951704" w:rsidRPr="00951704">
        <w:rPr>
          <w:rFonts w:ascii="Times New Roman" w:eastAsia="Times New Roman" w:hAnsi="Times New Roman" w:cs="Times New Roman"/>
          <w:b/>
          <w:bCs/>
          <w:color w:val="7030A0"/>
          <w:kern w:val="0"/>
          <w:lang w:eastAsia="cs-CZ"/>
          <w14:ligatures w14:val="none"/>
        </w:rPr>
        <w:t xml:space="preserve"> klavírní interpretace</w:t>
      </w:r>
    </w:p>
    <w:p w14:paraId="2F3A80B4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Komise konstatovala, že známky udělené oddělením jsou zcela srozumitelné a adekvátní. Celková úroveň byla ve srovnání s předchozími lety stabilní.</w:t>
      </w:r>
    </w:p>
    <w:p w14:paraId="72684EF5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Byla diskutovaná stylovost výkonů§ a smysl pro barevnost.</w:t>
      </w:r>
    </w:p>
    <w:p w14:paraId="26A9F77B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187E181" w14:textId="28E44F4B" w:rsidR="00951704" w:rsidRPr="00951704" w:rsidRDefault="005C1E61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0"/>
          <w:lang w:eastAsia="cs-CZ"/>
          <w14:ligatures w14:val="none"/>
        </w:rPr>
        <w:t>Katedra</w:t>
      </w:r>
      <w:r w:rsidR="00951704" w:rsidRPr="00951704">
        <w:rPr>
          <w:rFonts w:ascii="Times New Roman" w:eastAsia="Times New Roman" w:hAnsi="Times New Roman" w:cs="Times New Roman"/>
          <w:b/>
          <w:bCs/>
          <w:color w:val="7030A0"/>
          <w:kern w:val="0"/>
          <w:lang w:eastAsia="cs-CZ"/>
          <w14:ligatures w14:val="none"/>
        </w:rPr>
        <w:t xml:space="preserve"> hudební produkce</w:t>
      </w:r>
    </w:p>
    <w:p w14:paraId="34E2F811" w14:textId="6657CCD4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Dva týmy po třech studentech prezentovaly svůj týmový projekt, v němž představovaly vybraného studenta-umělce jako agenta. Oba </w:t>
      </w:r>
      <w:r w:rsidR="005C1E61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t</w:t>
      </w: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ýmy zdokumentovaly svou práci </w:t>
      </w:r>
      <w:r w:rsidR="005C1E61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písemně i ústně, práce </w:t>
      </w: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sestáva</w:t>
      </w:r>
      <w:r w:rsidR="005C1E61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la </w:t>
      </w: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ze strategií a portfolií pro </w:t>
      </w:r>
      <w:r w:rsidR="005C1E61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zastupování </w:t>
      </w: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studenta zpěvu a studenta skladby. </w:t>
      </w:r>
    </w:p>
    <w:p w14:paraId="025374BA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Kritéria hodnocení katedry byla zahájena přehledně, prezentační materiál byl komisi zaslán předem a byl k dispozici i při prezentaci. Studenti reagovali na dotazy komise (v češtině a angličtině) a komise zvýšila známku jednomu ze šesti studentů podle jeho vysokých verbálních i neverbálních komunikačních schopností.</w:t>
      </w:r>
    </w:p>
    <w:p w14:paraId="7C4C2792" w14:textId="5159BC21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Úroveň, resp. prezentace odpovídala úrovni prezentací z předchozích ročníků. Vedoucí katedry vysvětlila, že výsledné známky pro studenty jsou výsledkem testů (vědomostních), celkové práce studentů během letního semestru a jako hodnocení prezentovaného písemného materiálu.</w:t>
      </w:r>
    </w:p>
    <w:p w14:paraId="10970F8B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b/>
          <w:bCs/>
          <w:color w:val="7030A0"/>
          <w:kern w:val="0"/>
          <w:lang w:eastAsia="cs-CZ"/>
          <w14:ligatures w14:val="none"/>
        </w:rPr>
        <w:t>Katedra bicích nástrojů</w:t>
      </w:r>
    </w:p>
    <w:p w14:paraId="2CD6029D" w14:textId="7A93130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Prezentace studenta byla natolik přesvědčivá (drive, výraz, technické dispozice, energetická úroveň), že se komise rozhodla zvýšit známku navrženou katedrou). Dobrý výsledek je známkou trvale dobré práce katedry.</w:t>
      </w:r>
    </w:p>
    <w:p w14:paraId="292F1BA0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b/>
          <w:bCs/>
          <w:color w:val="7030A0"/>
          <w:kern w:val="0"/>
          <w:lang w:eastAsia="cs-CZ"/>
          <w14:ligatures w14:val="none"/>
        </w:rPr>
        <w:t>Katedra jazzu</w:t>
      </w:r>
    </w:p>
    <w:p w14:paraId="0F4393C2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Studenti předvedli tři skupinové interpretace se sóly pro každého studenta. Vedoucí katedry vysvětlil kritéria hodnocení a podklady pro navržené známky. Komise navrhla drobné změny dané aktuálními dispozicemi a improvizační úrovní tří konstelací studentů a diskutovala o argumentech, jako je úroveň invence, technické dispozice, styl a hudební souhra.</w:t>
      </w:r>
    </w:p>
    <w:p w14:paraId="6C9833D8" w14:textId="77777777" w:rsidR="007634CB" w:rsidRDefault="007634CB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1E1C943" w14:textId="5AEECF18" w:rsidR="00951704" w:rsidRPr="00951704" w:rsidRDefault="007634CB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7634CB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:lang w:eastAsia="cs-CZ"/>
          <w14:ligatures w14:val="none"/>
        </w:rPr>
        <w:t>Obecné závěry z děkanských zkoušek:</w:t>
      </w:r>
    </w:p>
    <w:p w14:paraId="0DF2F373" w14:textId="09D368AA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Letošní děkanské zkoušky byly obecně realizovány dobře připraveným a mimořádně kultivovaným způsobem.</w:t>
      </w:r>
      <w:r w:rsidR="007634CB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 </w:t>
      </w:r>
      <w:proofErr w:type="gramStart"/>
      <w:r w:rsidR="007634CB"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Diskuze</w:t>
      </w:r>
      <w:proofErr w:type="gramEnd"/>
      <w:r w:rsidR="007634CB"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 byly otevřené, upřímné a založené na argumentech.</w:t>
      </w:r>
    </w:p>
    <w:p w14:paraId="02B54304" w14:textId="1976F6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Postup byl vždy stejný: studenti se představili, komise měla k dispozici program i známky navržené katedrami a děkanka otevřela prostor pro diskusi, zda členové komise budou s </w:t>
      </w: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lastRenderedPageBreak/>
        <w:t>navrženým hodnocením souhlasit či nikoliv. V případě nesouhlasu prezentující předložil argumenty pro svůj názor a navrhl jiné hodnocení. Někdy byly předneseny dokonce dva odlišné návrhy. O každém návrhu (zda změnit nebo ponechat hodnocení) se hlasovalo zvednutím ruky a prostou většinou.</w:t>
      </w:r>
    </w:p>
    <w:p w14:paraId="7ED8A546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Z hlediska umělecké a interpretační kvality se úroveň letošních zkoušek ve většině oborů zvýšila, což vyplývá z různých důvodů:</w:t>
      </w:r>
    </w:p>
    <w:p w14:paraId="147981DB" w14:textId="3766EAE3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Fakulta získala silnější renomé díky angažování nových zaměstnanců v rámci generační obměny a díky angažování národních a mezinárodních hostujících profesorů. Dalšími faktory jsou prezentace fakulty na základních a středních školách, </w:t>
      </w:r>
      <w:r w:rsidR="007634CB"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partnerství</w:t>
      </w: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 s pražskou sesterskou fakultou (HAMU), a vytvářením profesionálních příležitostí pro studenty. Dalším faktorem je celkové oživení kulturních aktivit po pandemii.</w:t>
      </w:r>
    </w:p>
    <w:p w14:paraId="13E79C61" w14:textId="77777777" w:rsidR="007634CB" w:rsidRPr="00951704" w:rsidRDefault="007634CB" w:rsidP="007634C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Složení komise bylo pestré: děkanky, proděkani, vedoucí </w:t>
      </w:r>
      <w:proofErr w:type="spellStart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katedr</w:t>
      </w:r>
      <w:proofErr w:type="spellEnd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 a </w:t>
      </w:r>
      <w:proofErr w:type="spellStart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hostujícíc</w:t>
      </w:r>
      <w:proofErr w:type="spellEnd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 „</w:t>
      </w:r>
      <w:proofErr w:type="spellStart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critical</w:t>
      </w:r>
      <w:proofErr w:type="spellEnd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 </w:t>
      </w:r>
      <w:proofErr w:type="spellStart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friend</w:t>
      </w:r>
      <w:proofErr w:type="spellEnd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“.</w:t>
      </w:r>
    </w:p>
    <w:p w14:paraId="41ED70F8" w14:textId="77777777" w:rsid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</w:pPr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Přítomnost prof. Ivany </w:t>
      </w:r>
      <w:proofErr w:type="spellStart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Perkovič</w:t>
      </w:r>
      <w:proofErr w:type="spellEnd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 z bělehradské Univerzity umění byla považována za mimořádně užitečný prvek pro udržení racionální, transparentní a otevřené diskuse. Pohled externího člena je vítanou příležitostí neupadnout do pohodlných návyků a přítomnost osoby, která není spojena s každodenní pracovní náplní učitelů a studentů, je osvěžující. Muzikoložka prof. Ivana </w:t>
      </w:r>
      <w:proofErr w:type="spellStart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Perkovič</w:t>
      </w:r>
      <w:proofErr w:type="spellEnd"/>
      <w:r w:rsidRPr="00951704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 se svoji klidnou autoritou byla přínosem pro kvalitu procesu děkanských zkoušek.</w:t>
      </w:r>
    </w:p>
    <w:p w14:paraId="00F35E64" w14:textId="6965042A" w:rsidR="007634CB" w:rsidRPr="007634CB" w:rsidRDefault="007634CB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7030A0"/>
          <w:kern w:val="0"/>
          <w:lang w:eastAsia="cs-CZ"/>
          <w14:ligatures w14:val="none"/>
        </w:rPr>
      </w:pPr>
      <w:r w:rsidRPr="007634CB">
        <w:rPr>
          <w:rFonts w:ascii="Times New Roman" w:eastAsia="Times New Roman" w:hAnsi="Times New Roman" w:cs="Times New Roman"/>
          <w:b/>
          <w:bCs/>
          <w:color w:val="7030A0"/>
          <w:kern w:val="0"/>
          <w:lang w:eastAsia="cs-CZ"/>
          <w14:ligatures w14:val="none"/>
        </w:rPr>
        <w:t>Body ke zlepšení:</w:t>
      </w:r>
    </w:p>
    <w:p w14:paraId="1E6A24D6" w14:textId="2695C2BD" w:rsidR="007634CB" w:rsidRPr="005C1E61" w:rsidRDefault="007634CB" w:rsidP="007634CB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</w:pPr>
      <w:r w:rsidRPr="005C1E61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t xml:space="preserve">Procesuálně by se měli dotáhnout prezentace studentů sborového dirigování: bud profesionální záznam za pomoci fakultní profesionální </w:t>
      </w:r>
      <w:r w:rsidR="005C1E61" w:rsidRPr="005C1E61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t>nahrávací</w:t>
      </w:r>
      <w:r w:rsidRPr="005C1E61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t xml:space="preserve"> techniky nebo – ideálně – přítomnost mini-sboru pro zachování rovného přístupu studentů sborového a orchestrálního dirigování.</w:t>
      </w:r>
    </w:p>
    <w:p w14:paraId="603C8349" w14:textId="1D3FAAAA" w:rsidR="007634CB" w:rsidRPr="005C1E61" w:rsidRDefault="007634CB" w:rsidP="007634CB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</w:pPr>
      <w:r w:rsidRPr="005C1E61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t>Sjednocení prezentace programů – doporučujeme, aby jednotně všichni vedoucí kateder připravili program obsahující jméno studentky/a, program a návrh hodnocení katedry.</w:t>
      </w:r>
    </w:p>
    <w:p w14:paraId="016E1275" w14:textId="1110D0FD" w:rsidR="007634CB" w:rsidRPr="005C1E61" w:rsidRDefault="007634CB" w:rsidP="007634CB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</w:pPr>
      <w:r w:rsidRPr="005C1E61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t xml:space="preserve">Externí členka/člen dostanou doposud pouze popis formy a cílů děkanských zkoušky. Měli by dostat dopředu i kritéria hodnocení a škálu hodnocení. </w:t>
      </w:r>
    </w:p>
    <w:p w14:paraId="4F5D6F3E" w14:textId="74222AB3" w:rsidR="007634CB" w:rsidRPr="005C1E61" w:rsidRDefault="007634CB" w:rsidP="007634CB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</w:pPr>
      <w:r w:rsidRPr="005C1E61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cs-CZ"/>
          <w14:ligatures w14:val="none"/>
        </w:rPr>
        <w:t xml:space="preserve">Ideálně by měli studenti, u kterých se změnilo hodnocení dolů, zpětnou vazbu o důvodech a doporučení pro zlepšení. Zatím se tato praxe děje individuálně dle iniciativy vedoucího katedry, v budoucnu by bylo možné naplánovat dalších 10 minut pro kolektivní zpětnou vazbu za každém kroku) </w:t>
      </w:r>
    </w:p>
    <w:p w14:paraId="07CB0AEC" w14:textId="77777777" w:rsidR="00951704" w:rsidRPr="00951704" w:rsidRDefault="00951704" w:rsidP="009517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609CCED" w14:textId="771FF3AF" w:rsidR="00CA03FB" w:rsidRPr="005C1E61" w:rsidRDefault="00610FB8" w:rsidP="00610FB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</w:pPr>
      <w:r w:rsidRPr="005C1E61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 xml:space="preserve">Vypracovala: </w:t>
      </w:r>
      <w:r w:rsidR="00951704" w:rsidRPr="00951704">
        <w:rPr>
          <w:rFonts w:ascii="Arial" w:eastAsia="Times New Roman" w:hAnsi="Arial" w:cs="Arial"/>
          <w:b/>
          <w:bCs/>
          <w:color w:val="7030A0"/>
          <w:kern w:val="0"/>
          <w:sz w:val="20"/>
          <w:szCs w:val="20"/>
          <w:lang w:eastAsia="cs-CZ"/>
          <w14:ligatures w14:val="none"/>
        </w:rPr>
        <w:t>prof. Barbara Maria Willi, Ph.D., MBA</w:t>
      </w:r>
      <w:r w:rsidRPr="005C1E61">
        <w:rPr>
          <w:rFonts w:ascii="Times New Roman" w:eastAsia="Times New Roman" w:hAnsi="Times New Roman" w:cs="Times New Roman"/>
          <w:color w:val="7030A0"/>
          <w:kern w:val="0"/>
          <w:lang w:eastAsia="cs-CZ"/>
          <w14:ligatures w14:val="none"/>
        </w:rPr>
        <w:t>, d</w:t>
      </w:r>
      <w:r w:rsidR="00951704" w:rsidRPr="00951704">
        <w:rPr>
          <w:rFonts w:ascii="Arial" w:eastAsia="Times New Roman" w:hAnsi="Arial" w:cs="Arial"/>
          <w:color w:val="7030A0"/>
          <w:kern w:val="0"/>
          <w:sz w:val="20"/>
          <w:szCs w:val="20"/>
          <w:lang w:eastAsia="cs-CZ"/>
          <w14:ligatures w14:val="none"/>
        </w:rPr>
        <w:t>ěkank</w:t>
      </w:r>
      <w:r w:rsidRPr="005C1E61">
        <w:rPr>
          <w:rFonts w:ascii="Arial" w:eastAsia="Times New Roman" w:hAnsi="Arial" w:cs="Arial"/>
          <w:color w:val="7030A0"/>
          <w:kern w:val="0"/>
          <w:sz w:val="20"/>
          <w:szCs w:val="20"/>
          <w:lang w:eastAsia="cs-CZ"/>
          <w14:ligatures w14:val="none"/>
        </w:rPr>
        <w:t>a</w:t>
      </w:r>
    </w:p>
    <w:sectPr w:rsidR="00CA03FB" w:rsidRPr="005C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449F4"/>
    <w:multiLevelType w:val="multilevel"/>
    <w:tmpl w:val="CBA4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27CD4"/>
    <w:multiLevelType w:val="hybridMultilevel"/>
    <w:tmpl w:val="6D605B1E"/>
    <w:lvl w:ilvl="0" w:tplc="5F54AD06">
      <w:start w:val="1"/>
      <w:numFmt w:val="decimal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787835">
    <w:abstractNumId w:val="0"/>
  </w:num>
  <w:num w:numId="2" w16cid:durableId="180049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C5"/>
    <w:rsid w:val="004216B5"/>
    <w:rsid w:val="00550338"/>
    <w:rsid w:val="005C1E61"/>
    <w:rsid w:val="00610FB8"/>
    <w:rsid w:val="007634CB"/>
    <w:rsid w:val="00951704"/>
    <w:rsid w:val="00A365FD"/>
    <w:rsid w:val="00CA03FB"/>
    <w:rsid w:val="00CD5397"/>
    <w:rsid w:val="00F9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70F5C"/>
  <w15:chartTrackingRefBased/>
  <w15:docId w15:val="{C7E31D5A-1D4C-034D-BA49-83DC10C2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8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8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8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8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8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8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8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8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8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8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8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8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8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8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8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8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8C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npsmoodstavce"/>
    <w:rsid w:val="00F918C5"/>
  </w:style>
  <w:style w:type="character" w:styleId="Siln">
    <w:name w:val="Strong"/>
    <w:basedOn w:val="Standardnpsmoodstavce"/>
    <w:uiPriority w:val="22"/>
    <w:qFormat/>
    <w:rsid w:val="00951704"/>
    <w:rPr>
      <w:b/>
      <w:bCs/>
    </w:rPr>
  </w:style>
  <w:style w:type="character" w:customStyle="1" w:styleId="outlook-search-highlight">
    <w:name w:val="outlook-search-highlight"/>
    <w:basedOn w:val="Standardnpsmoodstavce"/>
    <w:rsid w:val="00951704"/>
  </w:style>
  <w:style w:type="character" w:styleId="Hypertextovodkaz">
    <w:name w:val="Hyperlink"/>
    <w:basedOn w:val="Standardnpsmoodstavce"/>
    <w:uiPriority w:val="99"/>
    <w:semiHidden/>
    <w:unhideWhenUsed/>
    <w:rsid w:val="00951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1427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Maria Willi</dc:creator>
  <cp:keywords/>
  <dc:description/>
  <cp:lastModifiedBy>Barbara Maria Willi</cp:lastModifiedBy>
  <cp:revision>4</cp:revision>
  <dcterms:created xsi:type="dcterms:W3CDTF">2024-05-30T10:35:00Z</dcterms:created>
  <dcterms:modified xsi:type="dcterms:W3CDTF">2024-05-30T10:49:00Z</dcterms:modified>
</cp:coreProperties>
</file>